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C76" w:rsidRDefault="00B03C76" w:rsidP="002233DA">
      <w:pPr>
        <w:pStyle w:val="Kop1"/>
        <w:rPr>
          <w:rFonts w:cs="Arial"/>
          <w:sz w:val="24"/>
          <w:szCs w:val="24"/>
        </w:rPr>
      </w:pPr>
      <w:r w:rsidRPr="00E47466">
        <w:t>Raadsvoorstel gemeente Ooststellingwerf</w:t>
      </w:r>
    </w:p>
    <w:p w:rsidR="0029293E" w:rsidRPr="009D4576" w:rsidRDefault="0029293E" w:rsidP="00EB1C70">
      <w:pPr>
        <w:rPr>
          <w:rFonts w:cs="Arial"/>
          <w:sz w:val="20"/>
        </w:rPr>
      </w:pPr>
    </w:p>
    <w:p w:rsidR="00B03C76" w:rsidRPr="009D4576" w:rsidRDefault="00B03C76" w:rsidP="00EB1C70">
      <w:pPr>
        <w:rPr>
          <w:rFonts w:cs="Arial"/>
          <w:sz w:val="20"/>
        </w:rPr>
      </w:pPr>
    </w:p>
    <w:p w:rsidR="00F53D89" w:rsidRPr="009D4576" w:rsidRDefault="001D7DC6" w:rsidP="00B834B9">
      <w:pPr>
        <w:tabs>
          <w:tab w:val="left" w:pos="3969"/>
          <w:tab w:val="left" w:pos="4253"/>
        </w:tabs>
        <w:rPr>
          <w:rFonts w:cs="Arial"/>
          <w:b/>
          <w:sz w:val="20"/>
        </w:rPr>
      </w:pPr>
      <w:r w:rsidRPr="009D4576">
        <w:rPr>
          <w:rFonts w:cs="Arial"/>
          <w:b/>
          <w:sz w:val="20"/>
        </w:rPr>
        <w:t>Commissie</w:t>
      </w:r>
      <w:r w:rsidR="00E47466" w:rsidRPr="009D4576">
        <w:rPr>
          <w:rFonts w:cs="Arial"/>
          <w:b/>
          <w:sz w:val="20"/>
        </w:rPr>
        <w:t>vergadering</w:t>
      </w:r>
      <w:r w:rsidR="00775147" w:rsidRPr="009D4576">
        <w:rPr>
          <w:rFonts w:cs="Arial"/>
          <w:b/>
          <w:sz w:val="20"/>
        </w:rPr>
        <w:t xml:space="preserve"> </w:t>
      </w:r>
    </w:p>
    <w:p w:rsidR="0029293E" w:rsidRPr="009D4576" w:rsidRDefault="00F53D89" w:rsidP="00B834B9">
      <w:pPr>
        <w:tabs>
          <w:tab w:val="left" w:pos="3969"/>
          <w:tab w:val="left" w:pos="4253"/>
        </w:tabs>
        <w:rPr>
          <w:rFonts w:cs="Arial"/>
          <w:sz w:val="20"/>
        </w:rPr>
      </w:pPr>
      <w:r w:rsidRPr="009D4576">
        <w:rPr>
          <w:rFonts w:cs="Arial"/>
          <w:sz w:val="20"/>
        </w:rPr>
        <w:t>P</w:t>
      </w:r>
      <w:r w:rsidR="00B834B9" w:rsidRPr="009D4576">
        <w:rPr>
          <w:rFonts w:cs="Arial"/>
          <w:sz w:val="20"/>
        </w:rPr>
        <w:t>lanning</w:t>
      </w:r>
      <w:r w:rsidRPr="009D4576">
        <w:rPr>
          <w:rFonts w:cs="Arial"/>
          <w:sz w:val="20"/>
        </w:rPr>
        <w:t>&amp;C</w:t>
      </w:r>
      <w:r w:rsidR="00B834B9" w:rsidRPr="009D4576">
        <w:rPr>
          <w:rFonts w:cs="Arial"/>
          <w:sz w:val="20"/>
        </w:rPr>
        <w:t>ontrol</w:t>
      </w:r>
      <w:r w:rsidR="00B834B9" w:rsidRPr="009D4576">
        <w:rPr>
          <w:rFonts w:cs="Arial"/>
          <w:sz w:val="20"/>
        </w:rPr>
        <w:tab/>
        <w:t>:</w:t>
      </w:r>
      <w:r w:rsidR="00B834B9" w:rsidRPr="009D4576">
        <w:rPr>
          <w:rFonts w:cs="Arial"/>
          <w:sz w:val="20"/>
        </w:rPr>
        <w:tab/>
      </w:r>
      <w:r w:rsidR="00183BB4">
        <w:rPr>
          <w:rFonts w:cs="Arial"/>
          <w:sz w:val="20"/>
        </w:rPr>
        <w:t xml:space="preserve">31 oktober 2017 </w:t>
      </w:r>
    </w:p>
    <w:p w:rsidR="00F53D89" w:rsidRPr="009D4576" w:rsidRDefault="00F53D89" w:rsidP="00B834B9">
      <w:pPr>
        <w:tabs>
          <w:tab w:val="left" w:pos="3969"/>
          <w:tab w:val="left" w:pos="4253"/>
        </w:tabs>
        <w:rPr>
          <w:rFonts w:cs="Arial"/>
          <w:sz w:val="20"/>
        </w:rPr>
      </w:pPr>
      <w:r w:rsidRPr="009D4576">
        <w:rPr>
          <w:rFonts w:cs="Arial"/>
          <w:sz w:val="20"/>
        </w:rPr>
        <w:t>Raadsver</w:t>
      </w:r>
      <w:r w:rsidR="00B834B9" w:rsidRPr="009D4576">
        <w:rPr>
          <w:rFonts w:cs="Arial"/>
          <w:sz w:val="20"/>
        </w:rPr>
        <w:t>ga</w:t>
      </w:r>
      <w:r w:rsidRPr="009D4576">
        <w:rPr>
          <w:rFonts w:cs="Arial"/>
          <w:sz w:val="20"/>
        </w:rPr>
        <w:t>dering</w:t>
      </w:r>
      <w:r w:rsidRPr="009D4576">
        <w:rPr>
          <w:rFonts w:cs="Arial"/>
          <w:sz w:val="20"/>
        </w:rPr>
        <w:tab/>
        <w:t>:</w:t>
      </w:r>
      <w:r w:rsidRPr="009D4576">
        <w:rPr>
          <w:rFonts w:cs="Arial"/>
          <w:sz w:val="20"/>
        </w:rPr>
        <w:tab/>
      </w:r>
      <w:r w:rsidR="00402FB4">
        <w:rPr>
          <w:rFonts w:cs="Arial"/>
          <w:sz w:val="20"/>
        </w:rPr>
        <w:t>7 november 2017</w:t>
      </w:r>
    </w:p>
    <w:p w:rsidR="0029293E" w:rsidRPr="009D4576" w:rsidRDefault="0029293E" w:rsidP="00B834B9">
      <w:pPr>
        <w:tabs>
          <w:tab w:val="left" w:pos="3969"/>
          <w:tab w:val="left" w:pos="4253"/>
        </w:tabs>
        <w:rPr>
          <w:rFonts w:cs="Arial"/>
          <w:sz w:val="20"/>
        </w:rPr>
      </w:pPr>
      <w:r w:rsidRPr="009D4576">
        <w:rPr>
          <w:rFonts w:cs="Arial"/>
          <w:sz w:val="20"/>
        </w:rPr>
        <w:t>N</w:t>
      </w:r>
      <w:r w:rsidR="00E47466" w:rsidRPr="009D4576">
        <w:rPr>
          <w:rFonts w:cs="Arial"/>
          <w:sz w:val="20"/>
        </w:rPr>
        <w:t>ummer</w:t>
      </w:r>
      <w:r w:rsidRPr="009D4576">
        <w:rPr>
          <w:rFonts w:cs="Arial"/>
          <w:sz w:val="20"/>
        </w:rPr>
        <w:tab/>
        <w:t>:</w:t>
      </w:r>
      <w:r w:rsidRPr="009D4576">
        <w:rPr>
          <w:rFonts w:cs="Arial"/>
          <w:sz w:val="20"/>
        </w:rPr>
        <w:tab/>
      </w:r>
      <w:r w:rsidR="00033696">
        <w:rPr>
          <w:rFonts w:cs="Arial"/>
          <w:sz w:val="20"/>
        </w:rPr>
        <w:t>6</w:t>
      </w:r>
      <w:bookmarkStart w:id="0" w:name="_GoBack"/>
      <w:bookmarkEnd w:id="0"/>
    </w:p>
    <w:p w:rsidR="00402FB4" w:rsidRPr="00402FB4" w:rsidRDefault="00E47466" w:rsidP="00402FB4">
      <w:pPr>
        <w:tabs>
          <w:tab w:val="left" w:pos="3969"/>
          <w:tab w:val="left" w:pos="4253"/>
        </w:tabs>
        <w:rPr>
          <w:rFonts w:cs="Arial"/>
          <w:sz w:val="20"/>
        </w:rPr>
      </w:pPr>
      <w:r w:rsidRPr="009D4576">
        <w:rPr>
          <w:rFonts w:cs="Arial"/>
          <w:sz w:val="20"/>
        </w:rPr>
        <w:t>Onderwerp</w:t>
      </w:r>
      <w:r w:rsidR="0029293E" w:rsidRPr="009D4576">
        <w:rPr>
          <w:rFonts w:cs="Arial"/>
          <w:sz w:val="20"/>
        </w:rPr>
        <w:tab/>
        <w:t>:</w:t>
      </w:r>
      <w:r w:rsidR="0029293E" w:rsidRPr="009D4576">
        <w:rPr>
          <w:rFonts w:cs="Arial"/>
          <w:sz w:val="20"/>
        </w:rPr>
        <w:tab/>
      </w:r>
      <w:r w:rsidR="00402FB4" w:rsidRPr="00402FB4">
        <w:rPr>
          <w:rFonts w:cs="Arial"/>
          <w:sz w:val="20"/>
        </w:rPr>
        <w:t>Vaststellen Programmabegroting 201</w:t>
      </w:r>
      <w:r w:rsidR="00402FB4">
        <w:rPr>
          <w:rFonts w:cs="Arial"/>
          <w:sz w:val="20"/>
        </w:rPr>
        <w:t>8</w:t>
      </w:r>
      <w:r w:rsidR="00402FB4" w:rsidRPr="00402FB4">
        <w:rPr>
          <w:rFonts w:cs="Arial"/>
          <w:sz w:val="20"/>
        </w:rPr>
        <w:t xml:space="preserve"> en het </w:t>
      </w:r>
    </w:p>
    <w:p w:rsidR="0029293E" w:rsidRPr="00402FB4" w:rsidRDefault="00402FB4" w:rsidP="00402FB4">
      <w:pPr>
        <w:tabs>
          <w:tab w:val="left" w:pos="3969"/>
          <w:tab w:val="left" w:pos="4253"/>
        </w:tabs>
        <w:rPr>
          <w:rFonts w:cs="Arial"/>
          <w:sz w:val="20"/>
        </w:rPr>
      </w:pPr>
      <w:r w:rsidRPr="00402FB4">
        <w:rPr>
          <w:rFonts w:cs="Arial"/>
          <w:sz w:val="20"/>
        </w:rPr>
        <w:tab/>
      </w:r>
      <w:r w:rsidRPr="00402FB4">
        <w:rPr>
          <w:rFonts w:cs="Arial"/>
          <w:sz w:val="20"/>
        </w:rPr>
        <w:tab/>
        <w:t>Meerjarenperspectief 201</w:t>
      </w:r>
      <w:r>
        <w:rPr>
          <w:rFonts w:cs="Arial"/>
          <w:sz w:val="20"/>
        </w:rPr>
        <w:t>9</w:t>
      </w:r>
      <w:r w:rsidRPr="00402FB4">
        <w:rPr>
          <w:rFonts w:cs="Arial"/>
          <w:sz w:val="20"/>
        </w:rPr>
        <w:t>-202</w:t>
      </w:r>
      <w:r>
        <w:rPr>
          <w:rFonts w:cs="Arial"/>
          <w:sz w:val="20"/>
        </w:rPr>
        <w:t>1</w:t>
      </w:r>
    </w:p>
    <w:p w:rsidR="00F53D89" w:rsidRPr="009D4576" w:rsidRDefault="00F53D89" w:rsidP="00B834B9">
      <w:pPr>
        <w:tabs>
          <w:tab w:val="left" w:pos="3969"/>
          <w:tab w:val="left" w:pos="4253"/>
        </w:tabs>
        <w:ind w:left="3119" w:hanging="3119"/>
        <w:rPr>
          <w:rFonts w:cs="Arial"/>
          <w:sz w:val="20"/>
        </w:rPr>
      </w:pPr>
      <w:r w:rsidRPr="009D4576">
        <w:rPr>
          <w:rFonts w:cs="Arial"/>
          <w:sz w:val="20"/>
        </w:rPr>
        <w:t>Datum collegebesluit</w:t>
      </w:r>
      <w:r w:rsidRPr="009D4576">
        <w:rPr>
          <w:rFonts w:cs="Arial"/>
          <w:sz w:val="20"/>
        </w:rPr>
        <w:tab/>
      </w:r>
      <w:r w:rsidR="00B834B9" w:rsidRPr="009D4576">
        <w:rPr>
          <w:rFonts w:cs="Arial"/>
          <w:sz w:val="20"/>
        </w:rPr>
        <w:tab/>
      </w:r>
      <w:r w:rsidRPr="009D4576">
        <w:rPr>
          <w:rFonts w:cs="Arial"/>
          <w:sz w:val="20"/>
        </w:rPr>
        <w:t>:</w:t>
      </w:r>
      <w:r w:rsidRPr="009D4576">
        <w:rPr>
          <w:rFonts w:cs="Arial"/>
          <w:sz w:val="20"/>
        </w:rPr>
        <w:tab/>
      </w:r>
      <w:r w:rsidR="00402FB4">
        <w:rPr>
          <w:rFonts w:cs="Arial"/>
          <w:sz w:val="20"/>
        </w:rPr>
        <w:t>19 september 2017</w:t>
      </w:r>
    </w:p>
    <w:p w:rsidR="0029293E" w:rsidRPr="009D4576" w:rsidRDefault="00775147" w:rsidP="00B834B9">
      <w:pPr>
        <w:tabs>
          <w:tab w:val="left" w:pos="3969"/>
          <w:tab w:val="left" w:pos="4253"/>
        </w:tabs>
        <w:rPr>
          <w:rFonts w:cs="Arial"/>
          <w:sz w:val="20"/>
        </w:rPr>
      </w:pPr>
      <w:r w:rsidRPr="009D4576">
        <w:rPr>
          <w:rFonts w:cs="Arial"/>
          <w:sz w:val="20"/>
        </w:rPr>
        <w:t>Portefeuillehouder/</w:t>
      </w:r>
      <w:r w:rsidR="00B834B9" w:rsidRPr="009D4576">
        <w:rPr>
          <w:rFonts w:cs="Arial"/>
          <w:sz w:val="20"/>
        </w:rPr>
        <w:t>T</w:t>
      </w:r>
      <w:r w:rsidR="00F53D89" w:rsidRPr="009D4576">
        <w:rPr>
          <w:rFonts w:cs="Arial"/>
          <w:sz w:val="20"/>
        </w:rPr>
        <w:t>eamleider</w:t>
      </w:r>
      <w:r w:rsidR="0029293E" w:rsidRPr="009D4576">
        <w:rPr>
          <w:rFonts w:cs="Arial"/>
          <w:sz w:val="20"/>
        </w:rPr>
        <w:tab/>
        <w:t>:</w:t>
      </w:r>
      <w:r w:rsidR="0029293E" w:rsidRPr="009D4576">
        <w:rPr>
          <w:rFonts w:cs="Arial"/>
          <w:sz w:val="20"/>
        </w:rPr>
        <w:tab/>
      </w:r>
      <w:r w:rsidR="00402FB4" w:rsidRPr="00402FB4">
        <w:rPr>
          <w:rFonts w:cs="Arial"/>
          <w:sz w:val="20"/>
        </w:rPr>
        <w:t>Engbert van Esch/ Wim Waanders</w:t>
      </w:r>
    </w:p>
    <w:p w:rsidR="0029293E" w:rsidRPr="009D4576" w:rsidRDefault="0029293E" w:rsidP="008D3E53">
      <w:pPr>
        <w:pBdr>
          <w:bottom w:val="single" w:sz="4" w:space="1" w:color="auto"/>
        </w:pBdr>
        <w:tabs>
          <w:tab w:val="left" w:pos="2835"/>
          <w:tab w:val="left" w:pos="3119"/>
        </w:tabs>
        <w:rPr>
          <w:rFonts w:cs="Arial"/>
          <w:sz w:val="20"/>
        </w:rPr>
      </w:pPr>
    </w:p>
    <w:p w:rsidR="0052665C" w:rsidRPr="009D4576" w:rsidRDefault="0052665C" w:rsidP="00EF152D">
      <w:pPr>
        <w:tabs>
          <w:tab w:val="left" w:pos="5387"/>
        </w:tabs>
        <w:rPr>
          <w:rFonts w:cs="Arial"/>
          <w:b/>
          <w:color w:val="000000" w:themeColor="text1"/>
          <w:sz w:val="20"/>
        </w:rPr>
      </w:pPr>
    </w:p>
    <w:p w:rsidR="0052665C" w:rsidRPr="009D4576" w:rsidRDefault="0052665C" w:rsidP="00EF152D">
      <w:pPr>
        <w:tabs>
          <w:tab w:val="left" w:pos="5387"/>
        </w:tabs>
        <w:rPr>
          <w:rFonts w:cs="Arial"/>
          <w:b/>
          <w:color w:val="000000" w:themeColor="text1"/>
          <w:sz w:val="20"/>
        </w:rPr>
      </w:pPr>
      <w:r w:rsidRPr="009D4576">
        <w:rPr>
          <w:rFonts w:cs="Arial"/>
          <w:b/>
          <w:color w:val="000000" w:themeColor="text1"/>
          <w:sz w:val="20"/>
        </w:rPr>
        <w:t>Besluit raad</w:t>
      </w:r>
      <w:r w:rsidRPr="009D4576">
        <w:rPr>
          <w:rFonts w:cs="Arial"/>
          <w:b/>
          <w:color w:val="000000" w:themeColor="text1"/>
          <w:sz w:val="20"/>
        </w:rPr>
        <w:tab/>
        <w:t>Paraaf  griffier</w:t>
      </w:r>
    </w:p>
    <w:p w:rsidR="0052665C" w:rsidRPr="009D4576" w:rsidRDefault="0052665C" w:rsidP="008D3E53">
      <w:pPr>
        <w:pBdr>
          <w:bottom w:val="single" w:sz="4" w:space="1" w:color="auto"/>
        </w:pBdr>
        <w:tabs>
          <w:tab w:val="left" w:pos="2835"/>
          <w:tab w:val="left" w:pos="3119"/>
        </w:tabs>
        <w:rPr>
          <w:rFonts w:cs="Arial"/>
          <w:sz w:val="20"/>
        </w:rPr>
      </w:pPr>
    </w:p>
    <w:p w:rsidR="0052665C" w:rsidRPr="009D4576" w:rsidRDefault="0052665C" w:rsidP="008D3E53">
      <w:pPr>
        <w:pBdr>
          <w:bottom w:val="single" w:sz="4" w:space="1" w:color="auto"/>
        </w:pBdr>
        <w:tabs>
          <w:tab w:val="left" w:pos="2835"/>
          <w:tab w:val="left" w:pos="3119"/>
        </w:tabs>
        <w:rPr>
          <w:rFonts w:cs="Arial"/>
          <w:sz w:val="20"/>
        </w:rPr>
      </w:pPr>
    </w:p>
    <w:p w:rsidR="00EF152D" w:rsidRPr="009D4576" w:rsidRDefault="0029293E" w:rsidP="00EF152D">
      <w:pPr>
        <w:tabs>
          <w:tab w:val="left" w:pos="5387"/>
          <w:tab w:val="left" w:pos="7655"/>
          <w:tab w:val="left" w:pos="7938"/>
        </w:tabs>
        <w:rPr>
          <w:rFonts w:cs="Arial"/>
          <w:sz w:val="24"/>
          <w:szCs w:val="24"/>
        </w:rPr>
      </w:pPr>
      <w:r w:rsidRPr="009D4576">
        <w:rPr>
          <w:rFonts w:cs="Arial"/>
          <w:b/>
          <w:color w:val="FF0000"/>
          <w:sz w:val="24"/>
          <w:szCs w:val="24"/>
        </w:rPr>
        <w:t>V</w:t>
      </w:r>
      <w:r w:rsidR="00E47466" w:rsidRPr="009D4576">
        <w:rPr>
          <w:rFonts w:cs="Arial"/>
          <w:b/>
          <w:color w:val="FF0000"/>
          <w:sz w:val="24"/>
          <w:szCs w:val="24"/>
        </w:rPr>
        <w:t>oorste</w:t>
      </w:r>
      <w:r w:rsidR="009D4576" w:rsidRPr="009D4576">
        <w:rPr>
          <w:rFonts w:cs="Arial"/>
          <w:b/>
          <w:color w:val="FF0000"/>
          <w:sz w:val="24"/>
          <w:szCs w:val="24"/>
        </w:rPr>
        <w:t>l</w:t>
      </w:r>
    </w:p>
    <w:p w:rsidR="00402FB4" w:rsidRPr="00402FB4" w:rsidRDefault="00402FB4" w:rsidP="00402FB4">
      <w:pPr>
        <w:tabs>
          <w:tab w:val="left" w:pos="5954"/>
        </w:tabs>
        <w:ind w:right="340"/>
        <w:rPr>
          <w:rFonts w:cs="Arial"/>
          <w:sz w:val="20"/>
        </w:rPr>
      </w:pPr>
      <w:r w:rsidRPr="00402FB4">
        <w:rPr>
          <w:rFonts w:cs="Arial"/>
          <w:sz w:val="20"/>
        </w:rPr>
        <w:t>Vaststellen Programmabegroting 201</w:t>
      </w:r>
      <w:r>
        <w:rPr>
          <w:rFonts w:cs="Arial"/>
          <w:sz w:val="20"/>
        </w:rPr>
        <w:t xml:space="preserve">8 </w:t>
      </w:r>
      <w:r w:rsidRPr="00402FB4">
        <w:rPr>
          <w:rFonts w:cs="Arial"/>
          <w:sz w:val="20"/>
        </w:rPr>
        <w:t>en het Meerjarenperspectief 201</w:t>
      </w:r>
      <w:r>
        <w:rPr>
          <w:rFonts w:cs="Arial"/>
          <w:sz w:val="20"/>
        </w:rPr>
        <w:t>9</w:t>
      </w:r>
      <w:r w:rsidRPr="00402FB4">
        <w:rPr>
          <w:rFonts w:cs="Arial"/>
          <w:sz w:val="20"/>
        </w:rPr>
        <w:t>-202</w:t>
      </w:r>
      <w:r>
        <w:rPr>
          <w:rFonts w:cs="Arial"/>
          <w:sz w:val="20"/>
        </w:rPr>
        <w:t>1</w:t>
      </w:r>
      <w:r w:rsidRPr="00402FB4">
        <w:rPr>
          <w:rFonts w:cs="Arial"/>
          <w:sz w:val="20"/>
        </w:rPr>
        <w:t>.</w:t>
      </w:r>
    </w:p>
    <w:p w:rsidR="00CA6415" w:rsidRPr="009D4576" w:rsidRDefault="00CA6415" w:rsidP="008D3E53">
      <w:pPr>
        <w:tabs>
          <w:tab w:val="left" w:pos="5954"/>
        </w:tabs>
        <w:rPr>
          <w:rFonts w:cs="Arial"/>
          <w:sz w:val="20"/>
        </w:rPr>
      </w:pPr>
    </w:p>
    <w:p w:rsidR="0029293E" w:rsidRPr="009D4576" w:rsidRDefault="0029293E" w:rsidP="008D3E53">
      <w:pPr>
        <w:pBdr>
          <w:top w:val="single" w:sz="4" w:space="1" w:color="auto"/>
        </w:pBdr>
        <w:tabs>
          <w:tab w:val="left" w:pos="5954"/>
        </w:tabs>
        <w:rPr>
          <w:rFonts w:cs="Arial"/>
          <w:b/>
          <w:color w:val="FF0000"/>
          <w:sz w:val="24"/>
          <w:szCs w:val="24"/>
        </w:rPr>
      </w:pPr>
      <w:r w:rsidRPr="009D4576">
        <w:rPr>
          <w:rFonts w:cs="Arial"/>
          <w:b/>
          <w:color w:val="FF0000"/>
          <w:sz w:val="24"/>
          <w:szCs w:val="24"/>
        </w:rPr>
        <w:t>Inleiding</w:t>
      </w:r>
    </w:p>
    <w:p w:rsidR="008E5E2B" w:rsidRPr="008E5E2B" w:rsidRDefault="008E5E2B" w:rsidP="008E5E2B">
      <w:pPr>
        <w:tabs>
          <w:tab w:val="left" w:pos="5954"/>
        </w:tabs>
        <w:rPr>
          <w:rFonts w:cs="Arial"/>
          <w:sz w:val="20"/>
        </w:rPr>
      </w:pPr>
      <w:r w:rsidRPr="008E5E2B">
        <w:rPr>
          <w:rFonts w:cs="Arial"/>
          <w:sz w:val="20"/>
        </w:rPr>
        <w:t>U ontvangt hierbij de Programmabegroting 201</w:t>
      </w:r>
      <w:r>
        <w:rPr>
          <w:rFonts w:cs="Arial"/>
          <w:sz w:val="20"/>
        </w:rPr>
        <w:t>8</w:t>
      </w:r>
      <w:r w:rsidRPr="008E5E2B">
        <w:rPr>
          <w:rFonts w:cs="Arial"/>
          <w:sz w:val="20"/>
        </w:rPr>
        <w:t>-202</w:t>
      </w:r>
      <w:r>
        <w:rPr>
          <w:rFonts w:cs="Arial"/>
          <w:sz w:val="20"/>
        </w:rPr>
        <w:t>1</w:t>
      </w:r>
      <w:r w:rsidRPr="008E5E2B">
        <w:rPr>
          <w:rFonts w:cs="Arial"/>
          <w:sz w:val="20"/>
        </w:rPr>
        <w:t>.</w:t>
      </w:r>
      <w:r>
        <w:rPr>
          <w:rFonts w:cs="Arial"/>
          <w:sz w:val="20"/>
        </w:rPr>
        <w:t xml:space="preserve"> </w:t>
      </w:r>
      <w:r w:rsidRPr="008E5E2B">
        <w:rPr>
          <w:rFonts w:cs="Arial"/>
          <w:sz w:val="20"/>
        </w:rPr>
        <w:t>In de Kaderbrief 2018-2021 meldden we dat we op koers liggen bij de realisering van ons coalitieakkoord 2014-2018 ‘Samen Voortbouwen’. In dit akkoord werd aangegeven dat in deze periode een drietal grote vraagstukken op ons af komen.</w:t>
      </w:r>
    </w:p>
    <w:p w:rsidR="008E5E2B" w:rsidRPr="008E5E2B" w:rsidRDefault="008E5E2B" w:rsidP="008E5E2B">
      <w:pPr>
        <w:numPr>
          <w:ilvl w:val="0"/>
          <w:numId w:val="5"/>
        </w:numPr>
        <w:tabs>
          <w:tab w:val="left" w:pos="5954"/>
        </w:tabs>
        <w:rPr>
          <w:rFonts w:cs="Arial"/>
          <w:sz w:val="20"/>
        </w:rPr>
      </w:pPr>
      <w:r w:rsidRPr="008E5E2B">
        <w:rPr>
          <w:rFonts w:cs="Arial"/>
          <w:sz w:val="20"/>
        </w:rPr>
        <w:t>Sociaal - de introductie en verantwoorde invoering van de 3 Decentralisaties (Sociaal Domein).</w:t>
      </w:r>
    </w:p>
    <w:p w:rsidR="008E5E2B" w:rsidRPr="008E5E2B" w:rsidRDefault="008E5E2B" w:rsidP="008E5E2B">
      <w:pPr>
        <w:numPr>
          <w:ilvl w:val="0"/>
          <w:numId w:val="5"/>
        </w:numPr>
        <w:tabs>
          <w:tab w:val="left" w:pos="5954"/>
        </w:tabs>
        <w:rPr>
          <w:rFonts w:cs="Arial"/>
          <w:sz w:val="20"/>
        </w:rPr>
      </w:pPr>
      <w:r w:rsidRPr="008E5E2B">
        <w:rPr>
          <w:rFonts w:cs="Arial"/>
          <w:sz w:val="20"/>
        </w:rPr>
        <w:t>Demografisch – de veranderende bevolkingsgroei en samenstelling.</w:t>
      </w:r>
    </w:p>
    <w:p w:rsidR="008E5E2B" w:rsidRPr="008E5E2B" w:rsidRDefault="008E5E2B" w:rsidP="008E5E2B">
      <w:pPr>
        <w:numPr>
          <w:ilvl w:val="0"/>
          <w:numId w:val="5"/>
        </w:numPr>
        <w:tabs>
          <w:tab w:val="left" w:pos="5954"/>
        </w:tabs>
        <w:rPr>
          <w:rFonts w:cs="Arial"/>
          <w:sz w:val="20"/>
        </w:rPr>
      </w:pPr>
      <w:r w:rsidRPr="008E5E2B">
        <w:rPr>
          <w:rFonts w:cs="Arial"/>
          <w:sz w:val="20"/>
        </w:rPr>
        <w:t>Financieel – de fors dalende rijksbijdrage in de gemeentekas en de blijvende druk op de begroting.</w:t>
      </w:r>
    </w:p>
    <w:p w:rsidR="0029293E" w:rsidRPr="009D4576" w:rsidRDefault="008E5E2B" w:rsidP="008D3E53">
      <w:pPr>
        <w:tabs>
          <w:tab w:val="left" w:pos="5954"/>
        </w:tabs>
        <w:rPr>
          <w:rFonts w:cs="Arial"/>
          <w:sz w:val="20"/>
        </w:rPr>
      </w:pPr>
      <w:r w:rsidRPr="008E5E2B">
        <w:rPr>
          <w:rFonts w:cs="Arial"/>
          <w:sz w:val="20"/>
        </w:rPr>
        <w:t>Met veel enthousiasme en overtuiging hebben we deze, en andere nieuwe, vraagstukken opgepakt. De beleidskaders die hieraan gelieerd zijn, zijn door u vastgesteld en worden door ons geïmplementeerd. Het Sociaal Domein (inclusief het Gebiedsteam) is volop in ontwikkeling en is in de begroting budgettair neutraal opgenomen. In de Woonvisie 2017-2022 hebben we aangegeven dat we in staat moeten zijn de komende jaren een woningvoorraad en woonomgeving te creëren die bij onze huidige en toekomstige inwoners past. Verder blijven we ons inzetten om een solide financiële koers vast te houden. We beseffen dat het samen voortbouwen niet stopt in 2018.</w:t>
      </w:r>
    </w:p>
    <w:p w:rsidR="00CA6415" w:rsidRPr="009D4576" w:rsidRDefault="00CA6415" w:rsidP="008D3E53">
      <w:pPr>
        <w:tabs>
          <w:tab w:val="left" w:pos="5954"/>
        </w:tabs>
        <w:rPr>
          <w:rFonts w:cs="Arial"/>
          <w:sz w:val="20"/>
        </w:rPr>
      </w:pPr>
    </w:p>
    <w:p w:rsidR="0029293E" w:rsidRPr="009D4576" w:rsidRDefault="00481C9E" w:rsidP="008D3E53">
      <w:pPr>
        <w:pBdr>
          <w:top w:val="single" w:sz="4" w:space="1" w:color="auto"/>
        </w:pBdr>
        <w:tabs>
          <w:tab w:val="left" w:pos="5954"/>
        </w:tabs>
        <w:rPr>
          <w:rFonts w:cs="Arial"/>
          <w:b/>
          <w:color w:val="FF0000"/>
          <w:sz w:val="24"/>
          <w:szCs w:val="24"/>
        </w:rPr>
      </w:pPr>
      <w:r w:rsidRPr="009D4576">
        <w:rPr>
          <w:rFonts w:cs="Arial"/>
          <w:b/>
          <w:color w:val="FF0000"/>
          <w:sz w:val="24"/>
          <w:szCs w:val="24"/>
        </w:rPr>
        <w:t>Beoogd effect</w:t>
      </w:r>
    </w:p>
    <w:p w:rsidR="008E5E2B" w:rsidRPr="008E5E2B" w:rsidRDefault="008E5E2B" w:rsidP="008E5E2B">
      <w:pPr>
        <w:tabs>
          <w:tab w:val="left" w:pos="5954"/>
        </w:tabs>
        <w:rPr>
          <w:rFonts w:cs="Arial"/>
          <w:sz w:val="20"/>
        </w:rPr>
      </w:pPr>
      <w:r w:rsidRPr="008E5E2B">
        <w:rPr>
          <w:rFonts w:cs="Arial"/>
          <w:sz w:val="20"/>
        </w:rPr>
        <w:t>Door het vaststellen van de begroting stelt u (financiële) kaders voor jaren 201</w:t>
      </w:r>
      <w:r>
        <w:rPr>
          <w:rFonts w:cs="Arial"/>
          <w:sz w:val="20"/>
        </w:rPr>
        <w:t>8</w:t>
      </w:r>
      <w:r w:rsidRPr="008E5E2B">
        <w:rPr>
          <w:rFonts w:cs="Arial"/>
          <w:sz w:val="20"/>
        </w:rPr>
        <w:t xml:space="preserve"> tot en met 202</w:t>
      </w:r>
      <w:r>
        <w:rPr>
          <w:rFonts w:cs="Arial"/>
          <w:sz w:val="20"/>
        </w:rPr>
        <w:t>1</w:t>
      </w:r>
      <w:r w:rsidRPr="008E5E2B">
        <w:rPr>
          <w:rFonts w:cs="Arial"/>
          <w:sz w:val="20"/>
        </w:rPr>
        <w:t>. Hiermee bepaalt u de verdeling van het geld voor de verschillende beleidsterreinen.</w:t>
      </w:r>
    </w:p>
    <w:p w:rsidR="00CA6415" w:rsidRPr="009D4576" w:rsidRDefault="00CA6415" w:rsidP="008D3E53">
      <w:pPr>
        <w:tabs>
          <w:tab w:val="left" w:pos="5954"/>
        </w:tabs>
        <w:rPr>
          <w:rFonts w:cs="Arial"/>
          <w:sz w:val="20"/>
        </w:rPr>
      </w:pPr>
    </w:p>
    <w:p w:rsidR="0029293E" w:rsidRPr="009D4576" w:rsidRDefault="00481C9E" w:rsidP="008D3E53">
      <w:pPr>
        <w:pBdr>
          <w:top w:val="single" w:sz="4" w:space="1" w:color="auto"/>
        </w:pBdr>
        <w:tabs>
          <w:tab w:val="left" w:pos="5954"/>
        </w:tabs>
        <w:rPr>
          <w:rFonts w:cs="Arial"/>
          <w:b/>
          <w:color w:val="FF0000"/>
          <w:sz w:val="24"/>
          <w:szCs w:val="24"/>
        </w:rPr>
      </w:pPr>
      <w:r w:rsidRPr="009D4576">
        <w:rPr>
          <w:rFonts w:cs="Arial"/>
          <w:b/>
          <w:color w:val="FF0000"/>
          <w:sz w:val="24"/>
          <w:szCs w:val="24"/>
        </w:rPr>
        <w:t>Argumenten</w:t>
      </w:r>
    </w:p>
    <w:p w:rsidR="008E5E2B" w:rsidRPr="008E5E2B" w:rsidRDefault="008E5E2B" w:rsidP="008E5E2B">
      <w:pPr>
        <w:tabs>
          <w:tab w:val="left" w:pos="5954"/>
        </w:tabs>
        <w:rPr>
          <w:rFonts w:cs="Arial"/>
          <w:sz w:val="20"/>
        </w:rPr>
      </w:pPr>
      <w:r w:rsidRPr="008E5E2B">
        <w:rPr>
          <w:rFonts w:cs="Arial"/>
          <w:sz w:val="20"/>
        </w:rPr>
        <w:t>Op basis van artikel 191 van de Gemeentewet stelt de gemeenteraad de programmabegroting vast in het jaar voorafgaand aan het begrotingsjaar. Verder is in de Gemeentewet voorgeschreven (artikel 190) dat het college, ruim vóór de vaststelling, de raad een ontwerp aanbiedt voor de begroting (201</w:t>
      </w:r>
      <w:r>
        <w:rPr>
          <w:rFonts w:cs="Arial"/>
          <w:sz w:val="20"/>
        </w:rPr>
        <w:t>8</w:t>
      </w:r>
      <w:r w:rsidRPr="008E5E2B">
        <w:rPr>
          <w:rFonts w:cs="Arial"/>
          <w:sz w:val="20"/>
        </w:rPr>
        <w:t>) met toelichting en een meerjarenraming voor tenminste drie op het begrotingsjaar volgende jaren (201</w:t>
      </w:r>
      <w:r>
        <w:rPr>
          <w:rFonts w:cs="Arial"/>
          <w:sz w:val="20"/>
        </w:rPr>
        <w:t>9</w:t>
      </w:r>
      <w:r w:rsidRPr="008E5E2B">
        <w:rPr>
          <w:rFonts w:cs="Arial"/>
          <w:sz w:val="20"/>
        </w:rPr>
        <w:t xml:space="preserve"> tot en met 202</w:t>
      </w:r>
      <w:r>
        <w:rPr>
          <w:rFonts w:cs="Arial"/>
          <w:sz w:val="20"/>
        </w:rPr>
        <w:t>1</w:t>
      </w:r>
      <w:r w:rsidRPr="008E5E2B">
        <w:rPr>
          <w:rFonts w:cs="Arial"/>
          <w:sz w:val="20"/>
        </w:rPr>
        <w:t xml:space="preserve">). </w:t>
      </w:r>
    </w:p>
    <w:p w:rsidR="0029293E" w:rsidRDefault="0029293E" w:rsidP="008D3E53">
      <w:pPr>
        <w:tabs>
          <w:tab w:val="left" w:pos="5954"/>
        </w:tabs>
        <w:rPr>
          <w:rFonts w:cs="Arial"/>
          <w:sz w:val="20"/>
        </w:rPr>
      </w:pPr>
    </w:p>
    <w:p w:rsidR="008E5E2B" w:rsidRDefault="008E5E2B" w:rsidP="008E5E2B">
      <w:pPr>
        <w:tabs>
          <w:tab w:val="left" w:pos="5954"/>
        </w:tabs>
        <w:rPr>
          <w:rFonts w:cs="Arial"/>
          <w:sz w:val="20"/>
        </w:rPr>
      </w:pPr>
      <w:r w:rsidRPr="008E5E2B">
        <w:rPr>
          <w:rFonts w:cs="Arial"/>
          <w:sz w:val="20"/>
        </w:rPr>
        <w:t>Het (financiële) uitgangspunt voor deze programmabegroting is dat 201</w:t>
      </w:r>
      <w:r>
        <w:rPr>
          <w:rFonts w:cs="Arial"/>
          <w:sz w:val="20"/>
        </w:rPr>
        <w:t>8</w:t>
      </w:r>
      <w:r w:rsidRPr="008E5E2B">
        <w:rPr>
          <w:rFonts w:cs="Arial"/>
          <w:sz w:val="20"/>
        </w:rPr>
        <w:t xml:space="preserve"> en 201</w:t>
      </w:r>
      <w:r>
        <w:rPr>
          <w:rFonts w:cs="Arial"/>
          <w:sz w:val="20"/>
        </w:rPr>
        <w:t>9</w:t>
      </w:r>
      <w:r w:rsidRPr="008E5E2B">
        <w:rPr>
          <w:rFonts w:cs="Arial"/>
          <w:sz w:val="20"/>
        </w:rPr>
        <w:t xml:space="preserve"> structureel en reëel in evenwicht zijn. Het is gewenst dat 20</w:t>
      </w:r>
      <w:r>
        <w:rPr>
          <w:rFonts w:cs="Arial"/>
          <w:sz w:val="20"/>
        </w:rPr>
        <w:t>20</w:t>
      </w:r>
      <w:r w:rsidRPr="008E5E2B">
        <w:rPr>
          <w:rFonts w:cs="Arial"/>
          <w:sz w:val="20"/>
        </w:rPr>
        <w:t xml:space="preserve"> en 202</w:t>
      </w:r>
      <w:r>
        <w:rPr>
          <w:rFonts w:cs="Arial"/>
          <w:sz w:val="20"/>
        </w:rPr>
        <w:t>1</w:t>
      </w:r>
      <w:r w:rsidRPr="008E5E2B">
        <w:rPr>
          <w:rFonts w:cs="Arial"/>
          <w:sz w:val="20"/>
        </w:rPr>
        <w:t xml:space="preserve"> eveneens structureel en reëel in evenwicht zijn. Het bestaand beleid is aangepast in verband met een aantal autonome ontwikkelingen.</w:t>
      </w:r>
    </w:p>
    <w:p w:rsidR="009D2280" w:rsidRPr="009D2280" w:rsidRDefault="009D2280" w:rsidP="009D2280">
      <w:pPr>
        <w:tabs>
          <w:tab w:val="left" w:pos="5954"/>
        </w:tabs>
        <w:rPr>
          <w:rFonts w:cs="Arial"/>
          <w:sz w:val="20"/>
        </w:rPr>
      </w:pPr>
      <w:r w:rsidRPr="009D2280">
        <w:rPr>
          <w:rFonts w:cs="Arial"/>
          <w:sz w:val="20"/>
        </w:rPr>
        <w:lastRenderedPageBreak/>
        <w:t>De komende jaren zetten we actief in op Overheidsparticipatie. Waarbij sprake is van omgekeerde samenwerking. Ook stellen we voor het Fonds Ooststellingwerf te continueren tot en met 2021.</w:t>
      </w:r>
    </w:p>
    <w:p w:rsidR="009D2280" w:rsidRPr="009D2280" w:rsidRDefault="009D2280" w:rsidP="009D2280">
      <w:pPr>
        <w:tabs>
          <w:tab w:val="left" w:pos="5954"/>
        </w:tabs>
        <w:rPr>
          <w:rFonts w:cs="Arial"/>
          <w:sz w:val="20"/>
        </w:rPr>
      </w:pPr>
    </w:p>
    <w:p w:rsidR="009D2280" w:rsidRPr="009D2280" w:rsidRDefault="009D2280" w:rsidP="009D2280">
      <w:pPr>
        <w:tabs>
          <w:tab w:val="left" w:pos="5954"/>
        </w:tabs>
        <w:rPr>
          <w:rFonts w:cs="Arial"/>
          <w:sz w:val="20"/>
        </w:rPr>
      </w:pPr>
      <w:r w:rsidRPr="009D2280">
        <w:rPr>
          <w:rFonts w:cs="Arial"/>
          <w:sz w:val="20"/>
        </w:rPr>
        <w:t>We hebben de ambitie de verschillende nieuwe projecten en nieuwe werkzaamheden die voortvloeien uit het nieuw beleid (strategische projecten en uitvoering nieuw beleid eenmalige begrotingsruimte € 5,7 miljoen) voortvarend op te pakken. De economie trekt aan waardoor ook nieuwe ontwikkelkansen zich gaan voordoen. Deze kansen willen we benutten.</w:t>
      </w:r>
    </w:p>
    <w:p w:rsidR="009D2280" w:rsidRPr="009D2280" w:rsidRDefault="009D2280" w:rsidP="009D2280">
      <w:pPr>
        <w:tabs>
          <w:tab w:val="left" w:pos="5954"/>
        </w:tabs>
        <w:rPr>
          <w:rFonts w:cs="Arial"/>
          <w:sz w:val="20"/>
        </w:rPr>
      </w:pPr>
      <w:r w:rsidRPr="009D2280">
        <w:rPr>
          <w:rFonts w:cs="Arial"/>
          <w:sz w:val="20"/>
        </w:rPr>
        <w:t>De uitvoering hiervan legt een behoorlijk beslag op de beschikbare ambtelijke capaciteit. Een aantal structurele knelpunten binnen de formatie komt duidelijk naar voren. Daarom is het van belang dat we deze knelpunten nu tijdig oplossen. In de begroting zijn voorstellen opgenomen voor formatie-uitbreiding bij de organisatieonderdelen Ruimtelijke ordening, Economische ontwikkeling, Communicatie, Sociaal Domein en Interne controle &amp; Informatiebeveiliging.</w:t>
      </w:r>
    </w:p>
    <w:p w:rsidR="009D2280" w:rsidRDefault="009D2280" w:rsidP="008E5E2B">
      <w:pPr>
        <w:tabs>
          <w:tab w:val="left" w:pos="5954"/>
        </w:tabs>
        <w:rPr>
          <w:rFonts w:cs="Arial"/>
          <w:sz w:val="20"/>
        </w:rPr>
      </w:pPr>
    </w:p>
    <w:p w:rsidR="00C077CF" w:rsidRPr="00C077CF" w:rsidRDefault="00C077CF" w:rsidP="00C077CF">
      <w:pPr>
        <w:tabs>
          <w:tab w:val="left" w:pos="5954"/>
        </w:tabs>
        <w:rPr>
          <w:rFonts w:cs="Arial"/>
          <w:sz w:val="20"/>
        </w:rPr>
      </w:pPr>
      <w:r>
        <w:rPr>
          <w:rFonts w:cs="Arial"/>
          <w:sz w:val="20"/>
        </w:rPr>
        <w:t xml:space="preserve">U </w:t>
      </w:r>
      <w:r w:rsidRPr="00C077CF">
        <w:rPr>
          <w:rFonts w:cs="Arial"/>
          <w:sz w:val="20"/>
        </w:rPr>
        <w:t xml:space="preserve">hebt </w:t>
      </w:r>
      <w:r>
        <w:rPr>
          <w:rFonts w:cs="Arial"/>
          <w:sz w:val="20"/>
        </w:rPr>
        <w:t>bij de behandeling van de Kaderbrief 2018-2021 di</w:t>
      </w:r>
      <w:r w:rsidRPr="00C077CF">
        <w:rPr>
          <w:rFonts w:cs="Arial"/>
          <w:sz w:val="20"/>
        </w:rPr>
        <w:t xml:space="preserve">verse </w:t>
      </w:r>
      <w:r>
        <w:rPr>
          <w:rFonts w:cs="Arial"/>
          <w:sz w:val="20"/>
        </w:rPr>
        <w:t xml:space="preserve">amendementen en </w:t>
      </w:r>
      <w:r w:rsidRPr="00C077CF">
        <w:rPr>
          <w:rFonts w:cs="Arial"/>
          <w:sz w:val="20"/>
        </w:rPr>
        <w:t xml:space="preserve">moties ingediend. In de </w:t>
      </w:r>
      <w:r w:rsidR="003C1B48">
        <w:rPr>
          <w:rFonts w:cs="Arial"/>
          <w:sz w:val="20"/>
        </w:rPr>
        <w:t xml:space="preserve">begroting, </w:t>
      </w:r>
      <w:r w:rsidRPr="00C077CF">
        <w:rPr>
          <w:rFonts w:cs="Arial"/>
          <w:sz w:val="20"/>
        </w:rPr>
        <w:t>bijlage ‘Overzicht amendementen en moties Kaderbrief 2018-2021’</w:t>
      </w:r>
      <w:r w:rsidR="003C1B48">
        <w:rPr>
          <w:rFonts w:cs="Arial"/>
          <w:sz w:val="20"/>
        </w:rPr>
        <w:t>,</w:t>
      </w:r>
      <w:r w:rsidRPr="00C077CF">
        <w:rPr>
          <w:rFonts w:cs="Arial"/>
          <w:sz w:val="20"/>
        </w:rPr>
        <w:t xml:space="preserve"> kunt u nalezen op welke wijze de amendementen en moties, voor zover ze zijn aangenomen of overgenomen, verwerkt zijn in de begroting. In het onderdeel ‘Begrotingsresultaat bestaand en nieuw beleid’ zijn deze voorstellen uitgewerkt.</w:t>
      </w:r>
    </w:p>
    <w:p w:rsidR="00C077CF" w:rsidRPr="008E5E2B" w:rsidRDefault="00C077CF" w:rsidP="008E5E2B">
      <w:pPr>
        <w:tabs>
          <w:tab w:val="left" w:pos="5954"/>
        </w:tabs>
        <w:rPr>
          <w:rFonts w:cs="Arial"/>
          <w:sz w:val="20"/>
        </w:rPr>
      </w:pPr>
    </w:p>
    <w:p w:rsidR="008E5E2B" w:rsidRPr="009D4576" w:rsidRDefault="005F18F0" w:rsidP="008D3E53">
      <w:pPr>
        <w:tabs>
          <w:tab w:val="left" w:pos="5954"/>
        </w:tabs>
        <w:rPr>
          <w:rFonts w:cs="Arial"/>
          <w:sz w:val="20"/>
        </w:rPr>
      </w:pPr>
      <w:r w:rsidRPr="005F18F0">
        <w:rPr>
          <w:rFonts w:cs="Arial"/>
          <w:sz w:val="20"/>
        </w:rPr>
        <w:t>Met vertrouwen bieden we u deze structureel sluitende begroting aan tegelijk met onze voorstellen voor lastenverlichting.</w:t>
      </w:r>
      <w:r w:rsidR="003C1B48">
        <w:rPr>
          <w:rFonts w:cs="Arial"/>
          <w:sz w:val="20"/>
        </w:rPr>
        <w:t xml:space="preserve"> We stellen voor het vaste tarief afvalstoffenheffing langer op een laag niveau te houden. Op 26 september jl. hebt u besloten dat de tarieven rioolheffing dalen met 7½%.</w:t>
      </w:r>
    </w:p>
    <w:p w:rsidR="00CA6415" w:rsidRPr="009D4576" w:rsidRDefault="00CA6415" w:rsidP="008D3E53">
      <w:pPr>
        <w:tabs>
          <w:tab w:val="left" w:pos="5954"/>
        </w:tabs>
        <w:rPr>
          <w:rFonts w:cs="Arial"/>
          <w:sz w:val="20"/>
        </w:rPr>
      </w:pPr>
    </w:p>
    <w:p w:rsidR="0029293E" w:rsidRPr="009D4576" w:rsidRDefault="00481C9E" w:rsidP="008D3E53">
      <w:pPr>
        <w:pBdr>
          <w:top w:val="single" w:sz="4" w:space="1" w:color="auto"/>
        </w:pBdr>
        <w:tabs>
          <w:tab w:val="left" w:pos="5954"/>
        </w:tabs>
        <w:rPr>
          <w:rFonts w:cs="Arial"/>
          <w:b/>
          <w:color w:val="FF0000"/>
          <w:sz w:val="24"/>
          <w:szCs w:val="24"/>
        </w:rPr>
      </w:pPr>
      <w:r w:rsidRPr="009D4576">
        <w:rPr>
          <w:rFonts w:cs="Arial"/>
          <w:b/>
          <w:color w:val="FF0000"/>
          <w:sz w:val="24"/>
          <w:szCs w:val="24"/>
        </w:rPr>
        <w:t>Kant</w:t>
      </w:r>
      <w:r w:rsidR="00B834B9" w:rsidRPr="009D4576">
        <w:rPr>
          <w:rFonts w:cs="Arial"/>
          <w:b/>
          <w:color w:val="FF0000"/>
          <w:sz w:val="24"/>
          <w:szCs w:val="24"/>
        </w:rPr>
        <w:t>t</w:t>
      </w:r>
      <w:r w:rsidRPr="009D4576">
        <w:rPr>
          <w:rFonts w:cs="Arial"/>
          <w:b/>
          <w:color w:val="FF0000"/>
          <w:sz w:val="24"/>
          <w:szCs w:val="24"/>
        </w:rPr>
        <w:t>ekeningen / alternatieven</w:t>
      </w:r>
    </w:p>
    <w:p w:rsidR="008E5E2B" w:rsidRPr="008E5E2B" w:rsidRDefault="008E5E2B" w:rsidP="008E5E2B">
      <w:pPr>
        <w:tabs>
          <w:tab w:val="left" w:pos="5954"/>
        </w:tabs>
        <w:rPr>
          <w:rFonts w:cs="Arial"/>
          <w:sz w:val="20"/>
        </w:rPr>
      </w:pPr>
      <w:r w:rsidRPr="007F1CC1">
        <w:rPr>
          <w:rFonts w:cs="Arial"/>
          <w:sz w:val="20"/>
        </w:rPr>
        <w:t>De uitkomsten van de Septembercirculaire 2017 zijn nog niet verwerkt in deze programmabegroting. Bij de verzending van de antwoorden op de schriftelijke vragen, ontvangt u een brief over de uitkomsten van deze circulaire en een bijgesteld begrotingsperspectief.</w:t>
      </w:r>
    </w:p>
    <w:p w:rsidR="00CA6415" w:rsidRPr="009D4576" w:rsidRDefault="00CA6415" w:rsidP="008D3E53">
      <w:pPr>
        <w:tabs>
          <w:tab w:val="left" w:pos="5954"/>
        </w:tabs>
        <w:rPr>
          <w:rFonts w:cs="Arial"/>
          <w:sz w:val="20"/>
        </w:rPr>
      </w:pPr>
    </w:p>
    <w:p w:rsidR="00481C9E" w:rsidRPr="009D4576" w:rsidRDefault="00481C9E" w:rsidP="008D3E53">
      <w:pPr>
        <w:pBdr>
          <w:top w:val="single" w:sz="4" w:space="1" w:color="auto"/>
        </w:pBdr>
        <w:tabs>
          <w:tab w:val="left" w:pos="5954"/>
        </w:tabs>
        <w:rPr>
          <w:rFonts w:cs="Arial"/>
          <w:b/>
          <w:color w:val="FF0000"/>
          <w:sz w:val="24"/>
          <w:szCs w:val="24"/>
        </w:rPr>
      </w:pPr>
      <w:r w:rsidRPr="009D4576">
        <w:rPr>
          <w:rFonts w:cs="Arial"/>
          <w:b/>
          <w:color w:val="FF0000"/>
          <w:sz w:val="24"/>
          <w:szCs w:val="24"/>
        </w:rPr>
        <w:t>Financiële toelichting</w:t>
      </w:r>
    </w:p>
    <w:p w:rsidR="005F18F0" w:rsidRPr="005F18F0" w:rsidRDefault="005F18F0" w:rsidP="005F18F0">
      <w:pPr>
        <w:tabs>
          <w:tab w:val="left" w:pos="5954"/>
        </w:tabs>
        <w:rPr>
          <w:rFonts w:cs="Arial"/>
          <w:sz w:val="20"/>
        </w:rPr>
      </w:pPr>
      <w:r w:rsidRPr="005F18F0">
        <w:rPr>
          <w:rFonts w:cs="Arial"/>
          <w:sz w:val="20"/>
        </w:rPr>
        <w:t>Het begrotingsperspectief is de komende vier jaar structureel en reëel in evenwicht, waarbij het jaar 2021 een beperkt nadelig resultaat van € 160.000 laat zien. Op dit moment is niet in te schatten in welke mate het Rijksbeleid (nieuw kabinet: bezuinigingen versus nieuw beleid) en de economische groei van invloed is op de gemeentefinanciën. De Meicirculaire 2018 kan daar op z’n vroegst iets over zeggen.</w:t>
      </w:r>
    </w:p>
    <w:p w:rsidR="009D2280" w:rsidRPr="009D2280" w:rsidRDefault="009D2280" w:rsidP="009D2280">
      <w:pPr>
        <w:tabs>
          <w:tab w:val="left" w:pos="5954"/>
        </w:tabs>
        <w:rPr>
          <w:rFonts w:cs="Arial"/>
          <w:sz w:val="20"/>
          <w:lang w:val="nl"/>
        </w:rPr>
      </w:pPr>
    </w:p>
    <w:tbl>
      <w:tblPr>
        <w:tblW w:w="8434" w:type="dxa"/>
        <w:tblLayout w:type="fixed"/>
        <w:tblCellMar>
          <w:left w:w="0" w:type="dxa"/>
          <w:right w:w="0" w:type="dxa"/>
        </w:tblCellMar>
        <w:tblLook w:val="04A0" w:firstRow="1" w:lastRow="0" w:firstColumn="1" w:lastColumn="0" w:noHBand="0" w:noVBand="1"/>
      </w:tblPr>
      <w:tblGrid>
        <w:gridCol w:w="4396"/>
        <w:gridCol w:w="1009"/>
        <w:gridCol w:w="1010"/>
        <w:gridCol w:w="1009"/>
        <w:gridCol w:w="1010"/>
      </w:tblGrid>
      <w:tr w:rsidR="009D2280" w:rsidRPr="009D2280" w:rsidTr="005F18F0">
        <w:trPr>
          <w:trHeight w:val="240"/>
        </w:trPr>
        <w:tc>
          <w:tcPr>
            <w:tcW w:w="4396" w:type="dxa"/>
            <w:noWrap/>
            <w:tcMar>
              <w:top w:w="0" w:type="dxa"/>
              <w:left w:w="70" w:type="dxa"/>
              <w:bottom w:w="0" w:type="dxa"/>
              <w:right w:w="70" w:type="dxa"/>
            </w:tcMar>
            <w:vAlign w:val="center"/>
            <w:hideMark/>
          </w:tcPr>
          <w:p w:rsidR="009D2280" w:rsidRPr="009D2280" w:rsidRDefault="009D2280" w:rsidP="009D2280">
            <w:pPr>
              <w:tabs>
                <w:tab w:val="left" w:pos="5954"/>
              </w:tabs>
              <w:rPr>
                <w:rFonts w:cs="Arial"/>
                <w:sz w:val="20"/>
              </w:rPr>
            </w:pPr>
            <w:bookmarkStart w:id="1" w:name="RANGE!A11:E18"/>
            <w:bookmarkEnd w:id="1"/>
          </w:p>
        </w:tc>
        <w:tc>
          <w:tcPr>
            <w:tcW w:w="4038" w:type="dxa"/>
            <w:gridSpan w:val="4"/>
            <w:noWrap/>
            <w:tcMar>
              <w:top w:w="0" w:type="dxa"/>
              <w:left w:w="70" w:type="dxa"/>
              <w:bottom w:w="0" w:type="dxa"/>
              <w:right w:w="70" w:type="dxa"/>
            </w:tcMar>
            <w:hideMark/>
          </w:tcPr>
          <w:p w:rsidR="009D2280" w:rsidRPr="009D2280" w:rsidRDefault="009D2280" w:rsidP="005F18F0">
            <w:pPr>
              <w:tabs>
                <w:tab w:val="left" w:pos="5954"/>
              </w:tabs>
              <w:jc w:val="right"/>
              <w:rPr>
                <w:rFonts w:cs="Arial"/>
                <w:sz w:val="20"/>
              </w:rPr>
            </w:pPr>
            <w:r w:rsidRPr="009D2280">
              <w:rPr>
                <w:rFonts w:cs="Arial"/>
                <w:sz w:val="20"/>
              </w:rPr>
              <w:t>bedragen x € 1.000</w:t>
            </w:r>
          </w:p>
        </w:tc>
      </w:tr>
      <w:tr w:rsidR="009D2280" w:rsidRPr="009D2280" w:rsidTr="005F18F0">
        <w:trPr>
          <w:trHeight w:val="600"/>
        </w:trPr>
        <w:tc>
          <w:tcPr>
            <w:tcW w:w="4396" w:type="dxa"/>
            <w:shd w:val="clear" w:color="auto" w:fill="CC071E"/>
            <w:tcMar>
              <w:top w:w="0" w:type="dxa"/>
              <w:left w:w="70" w:type="dxa"/>
              <w:bottom w:w="0" w:type="dxa"/>
              <w:right w:w="70" w:type="dxa"/>
            </w:tcMar>
            <w:vAlign w:val="center"/>
            <w:hideMark/>
          </w:tcPr>
          <w:p w:rsidR="009D2280" w:rsidRPr="009D2280" w:rsidRDefault="009D2280" w:rsidP="009D2280">
            <w:pPr>
              <w:tabs>
                <w:tab w:val="left" w:pos="5954"/>
              </w:tabs>
              <w:rPr>
                <w:rFonts w:cs="Arial"/>
                <w:bCs/>
                <w:sz w:val="20"/>
              </w:rPr>
            </w:pPr>
            <w:r w:rsidRPr="009D2280">
              <w:rPr>
                <w:rFonts w:cs="Arial"/>
                <w:bCs/>
                <w:sz w:val="20"/>
              </w:rPr>
              <w:t>Begrotingsperspectief</w:t>
            </w:r>
          </w:p>
        </w:tc>
        <w:tc>
          <w:tcPr>
            <w:tcW w:w="1009" w:type="dxa"/>
            <w:shd w:val="clear" w:color="auto" w:fill="CC071E"/>
            <w:tcMar>
              <w:top w:w="0" w:type="dxa"/>
              <w:left w:w="70" w:type="dxa"/>
              <w:bottom w:w="0" w:type="dxa"/>
              <w:right w:w="70" w:type="dxa"/>
            </w:tcMar>
            <w:vAlign w:val="center"/>
            <w:hideMark/>
          </w:tcPr>
          <w:p w:rsidR="009D2280" w:rsidRPr="009D2280" w:rsidRDefault="009D2280" w:rsidP="005F18F0">
            <w:pPr>
              <w:tabs>
                <w:tab w:val="left" w:pos="5954"/>
              </w:tabs>
              <w:jc w:val="center"/>
              <w:rPr>
                <w:rFonts w:cs="Arial"/>
                <w:bCs/>
                <w:sz w:val="20"/>
              </w:rPr>
            </w:pPr>
            <w:r w:rsidRPr="009D2280">
              <w:rPr>
                <w:rFonts w:cs="Arial"/>
                <w:bCs/>
                <w:sz w:val="20"/>
              </w:rPr>
              <w:t>Begroting</w:t>
            </w:r>
            <w:r w:rsidRPr="009D2280">
              <w:rPr>
                <w:rFonts w:cs="Arial"/>
                <w:bCs/>
                <w:sz w:val="20"/>
              </w:rPr>
              <w:br/>
              <w:t>2018</w:t>
            </w:r>
          </w:p>
        </w:tc>
        <w:tc>
          <w:tcPr>
            <w:tcW w:w="1010" w:type="dxa"/>
            <w:shd w:val="clear" w:color="auto" w:fill="CC071E"/>
            <w:tcMar>
              <w:top w:w="0" w:type="dxa"/>
              <w:left w:w="70" w:type="dxa"/>
              <w:bottom w:w="0" w:type="dxa"/>
              <w:right w:w="70" w:type="dxa"/>
            </w:tcMar>
            <w:vAlign w:val="center"/>
            <w:hideMark/>
          </w:tcPr>
          <w:p w:rsidR="009D2280" w:rsidRPr="009D2280" w:rsidRDefault="009D2280" w:rsidP="005F18F0">
            <w:pPr>
              <w:tabs>
                <w:tab w:val="left" w:pos="5954"/>
              </w:tabs>
              <w:jc w:val="center"/>
              <w:rPr>
                <w:rFonts w:cs="Arial"/>
                <w:bCs/>
                <w:sz w:val="20"/>
              </w:rPr>
            </w:pPr>
            <w:r w:rsidRPr="009D2280">
              <w:rPr>
                <w:rFonts w:cs="Arial"/>
                <w:bCs/>
                <w:sz w:val="20"/>
              </w:rPr>
              <w:t>MJB</w:t>
            </w:r>
            <w:r w:rsidRPr="009D2280">
              <w:rPr>
                <w:rFonts w:cs="Arial"/>
                <w:bCs/>
                <w:sz w:val="20"/>
              </w:rPr>
              <w:br/>
              <w:t>2019</w:t>
            </w:r>
          </w:p>
        </w:tc>
        <w:tc>
          <w:tcPr>
            <w:tcW w:w="1009" w:type="dxa"/>
            <w:shd w:val="clear" w:color="auto" w:fill="CC071E"/>
            <w:tcMar>
              <w:top w:w="0" w:type="dxa"/>
              <w:left w:w="70" w:type="dxa"/>
              <w:bottom w:w="0" w:type="dxa"/>
              <w:right w:w="70" w:type="dxa"/>
            </w:tcMar>
            <w:vAlign w:val="center"/>
            <w:hideMark/>
          </w:tcPr>
          <w:p w:rsidR="009D2280" w:rsidRPr="009D2280" w:rsidRDefault="009D2280" w:rsidP="005F18F0">
            <w:pPr>
              <w:tabs>
                <w:tab w:val="left" w:pos="5954"/>
              </w:tabs>
              <w:jc w:val="center"/>
              <w:rPr>
                <w:rFonts w:cs="Arial"/>
                <w:bCs/>
                <w:sz w:val="20"/>
              </w:rPr>
            </w:pPr>
            <w:r w:rsidRPr="009D2280">
              <w:rPr>
                <w:rFonts w:cs="Arial"/>
                <w:bCs/>
                <w:sz w:val="20"/>
              </w:rPr>
              <w:t>MJB</w:t>
            </w:r>
            <w:r w:rsidRPr="009D2280">
              <w:rPr>
                <w:rFonts w:cs="Arial"/>
                <w:bCs/>
                <w:sz w:val="20"/>
              </w:rPr>
              <w:br/>
              <w:t>2020</w:t>
            </w:r>
          </w:p>
        </w:tc>
        <w:tc>
          <w:tcPr>
            <w:tcW w:w="1010" w:type="dxa"/>
            <w:shd w:val="clear" w:color="auto" w:fill="CC071E"/>
            <w:tcMar>
              <w:top w:w="0" w:type="dxa"/>
              <w:left w:w="70" w:type="dxa"/>
              <w:bottom w:w="0" w:type="dxa"/>
              <w:right w:w="70" w:type="dxa"/>
            </w:tcMar>
            <w:vAlign w:val="center"/>
            <w:hideMark/>
          </w:tcPr>
          <w:p w:rsidR="009D2280" w:rsidRPr="009D2280" w:rsidRDefault="009D2280" w:rsidP="005F18F0">
            <w:pPr>
              <w:tabs>
                <w:tab w:val="left" w:pos="5954"/>
              </w:tabs>
              <w:jc w:val="center"/>
              <w:rPr>
                <w:rFonts w:cs="Arial"/>
                <w:bCs/>
                <w:sz w:val="20"/>
              </w:rPr>
            </w:pPr>
            <w:r w:rsidRPr="009D2280">
              <w:rPr>
                <w:rFonts w:cs="Arial"/>
                <w:bCs/>
                <w:sz w:val="20"/>
              </w:rPr>
              <w:t>MJB</w:t>
            </w:r>
            <w:r w:rsidRPr="009D2280">
              <w:rPr>
                <w:rFonts w:cs="Arial"/>
                <w:bCs/>
                <w:sz w:val="20"/>
              </w:rPr>
              <w:br/>
              <w:t>2021</w:t>
            </w:r>
          </w:p>
        </w:tc>
      </w:tr>
      <w:tr w:rsidR="009F2413" w:rsidRPr="009D2280" w:rsidTr="005F18F0">
        <w:trPr>
          <w:trHeight w:val="240"/>
        </w:trPr>
        <w:tc>
          <w:tcPr>
            <w:tcW w:w="4396" w:type="dxa"/>
            <w:shd w:val="clear" w:color="auto" w:fill="FCD5B4"/>
            <w:noWrap/>
            <w:tcMar>
              <w:top w:w="0" w:type="dxa"/>
              <w:left w:w="70" w:type="dxa"/>
              <w:bottom w:w="0" w:type="dxa"/>
              <w:right w:w="70" w:type="dxa"/>
            </w:tcMar>
            <w:vAlign w:val="center"/>
          </w:tcPr>
          <w:p w:rsidR="009F2413" w:rsidRPr="009D2280" w:rsidRDefault="009F2413" w:rsidP="009D2280">
            <w:pPr>
              <w:tabs>
                <w:tab w:val="left" w:pos="5954"/>
              </w:tabs>
              <w:rPr>
                <w:rFonts w:cs="Arial"/>
                <w:sz w:val="20"/>
              </w:rPr>
            </w:pPr>
          </w:p>
        </w:tc>
        <w:tc>
          <w:tcPr>
            <w:tcW w:w="1009" w:type="dxa"/>
            <w:shd w:val="clear" w:color="auto" w:fill="FDE9D9"/>
            <w:noWrap/>
            <w:tcMar>
              <w:top w:w="0" w:type="dxa"/>
              <w:left w:w="70" w:type="dxa"/>
              <w:bottom w:w="0" w:type="dxa"/>
              <w:right w:w="70" w:type="dxa"/>
            </w:tcMar>
            <w:vAlign w:val="center"/>
          </w:tcPr>
          <w:p w:rsidR="009F2413" w:rsidRDefault="009F2413" w:rsidP="009D2280">
            <w:pPr>
              <w:tabs>
                <w:tab w:val="left" w:pos="5954"/>
              </w:tabs>
              <w:rPr>
                <w:rFonts w:cs="Arial"/>
                <w:sz w:val="20"/>
              </w:rPr>
            </w:pPr>
          </w:p>
        </w:tc>
        <w:tc>
          <w:tcPr>
            <w:tcW w:w="1010" w:type="dxa"/>
            <w:shd w:val="clear" w:color="auto" w:fill="FDE9D9"/>
            <w:noWrap/>
            <w:tcMar>
              <w:top w:w="0" w:type="dxa"/>
              <w:left w:w="70" w:type="dxa"/>
              <w:bottom w:w="0" w:type="dxa"/>
              <w:right w:w="70" w:type="dxa"/>
            </w:tcMar>
            <w:vAlign w:val="center"/>
          </w:tcPr>
          <w:p w:rsidR="009F2413" w:rsidRDefault="009F2413" w:rsidP="009D2280">
            <w:pPr>
              <w:tabs>
                <w:tab w:val="left" w:pos="5954"/>
              </w:tabs>
              <w:rPr>
                <w:rFonts w:cs="Arial"/>
                <w:sz w:val="20"/>
              </w:rPr>
            </w:pPr>
          </w:p>
        </w:tc>
        <w:tc>
          <w:tcPr>
            <w:tcW w:w="1009" w:type="dxa"/>
            <w:shd w:val="clear" w:color="auto" w:fill="FDE9D9"/>
            <w:noWrap/>
            <w:tcMar>
              <w:top w:w="0" w:type="dxa"/>
              <w:left w:w="70" w:type="dxa"/>
              <w:bottom w:w="0" w:type="dxa"/>
              <w:right w:w="70" w:type="dxa"/>
            </w:tcMar>
            <w:vAlign w:val="center"/>
          </w:tcPr>
          <w:p w:rsidR="009F2413" w:rsidRDefault="009F2413" w:rsidP="009D2280">
            <w:pPr>
              <w:tabs>
                <w:tab w:val="left" w:pos="5954"/>
              </w:tabs>
              <w:rPr>
                <w:rFonts w:cs="Arial"/>
                <w:sz w:val="20"/>
              </w:rPr>
            </w:pPr>
          </w:p>
        </w:tc>
        <w:tc>
          <w:tcPr>
            <w:tcW w:w="1010" w:type="dxa"/>
            <w:shd w:val="clear" w:color="auto" w:fill="FDE9D9"/>
            <w:noWrap/>
            <w:tcMar>
              <w:top w:w="0" w:type="dxa"/>
              <w:left w:w="70" w:type="dxa"/>
              <w:bottom w:w="0" w:type="dxa"/>
              <w:right w:w="70" w:type="dxa"/>
            </w:tcMar>
            <w:vAlign w:val="center"/>
          </w:tcPr>
          <w:p w:rsidR="009F2413" w:rsidRDefault="009F2413" w:rsidP="009D2280">
            <w:pPr>
              <w:tabs>
                <w:tab w:val="left" w:pos="5954"/>
              </w:tabs>
              <w:rPr>
                <w:rFonts w:cs="Arial"/>
                <w:sz w:val="20"/>
              </w:rPr>
            </w:pPr>
          </w:p>
        </w:tc>
      </w:tr>
      <w:tr w:rsidR="009D2280" w:rsidRPr="009D2280" w:rsidTr="005F18F0">
        <w:trPr>
          <w:trHeight w:val="240"/>
        </w:trPr>
        <w:tc>
          <w:tcPr>
            <w:tcW w:w="4396" w:type="dxa"/>
            <w:shd w:val="clear" w:color="auto" w:fill="FCD5B4"/>
            <w:noWrap/>
            <w:tcMar>
              <w:top w:w="0" w:type="dxa"/>
              <w:left w:w="70" w:type="dxa"/>
              <w:bottom w:w="0" w:type="dxa"/>
              <w:right w:w="70" w:type="dxa"/>
            </w:tcMar>
            <w:vAlign w:val="center"/>
            <w:hideMark/>
          </w:tcPr>
          <w:p w:rsidR="009D2280" w:rsidRPr="009D2280" w:rsidRDefault="009D2280" w:rsidP="009D2280">
            <w:pPr>
              <w:tabs>
                <w:tab w:val="left" w:pos="5954"/>
              </w:tabs>
              <w:rPr>
                <w:rFonts w:cs="Arial"/>
                <w:sz w:val="20"/>
              </w:rPr>
            </w:pPr>
            <w:r w:rsidRPr="009D2280">
              <w:rPr>
                <w:rFonts w:cs="Arial"/>
                <w:sz w:val="20"/>
              </w:rPr>
              <w:t>Saldo bestaand beleid</w:t>
            </w:r>
          </w:p>
        </w:tc>
        <w:tc>
          <w:tcPr>
            <w:tcW w:w="1009" w:type="dxa"/>
            <w:shd w:val="clear" w:color="auto" w:fill="FDE9D9"/>
            <w:noWrap/>
            <w:tcMar>
              <w:top w:w="0" w:type="dxa"/>
              <w:left w:w="70" w:type="dxa"/>
              <w:bottom w:w="0" w:type="dxa"/>
              <w:right w:w="70" w:type="dxa"/>
            </w:tcMar>
            <w:vAlign w:val="center"/>
            <w:hideMark/>
          </w:tcPr>
          <w:p w:rsidR="009D2280" w:rsidRPr="009D2280" w:rsidRDefault="009D2280" w:rsidP="009D2280">
            <w:pPr>
              <w:tabs>
                <w:tab w:val="left" w:pos="5954"/>
              </w:tabs>
              <w:rPr>
                <w:rFonts w:cs="Arial"/>
                <w:sz w:val="20"/>
              </w:rPr>
            </w:pPr>
            <w:r>
              <w:rPr>
                <w:rFonts w:cs="Arial"/>
                <w:sz w:val="20"/>
              </w:rPr>
              <w:t xml:space="preserve">  </w:t>
            </w:r>
            <w:r w:rsidR="005F18F0">
              <w:rPr>
                <w:rFonts w:cs="Arial"/>
                <w:sz w:val="20"/>
              </w:rPr>
              <w:t xml:space="preserve">  </w:t>
            </w:r>
            <w:r w:rsidRPr="009D2280">
              <w:rPr>
                <w:rFonts w:cs="Arial"/>
                <w:sz w:val="20"/>
              </w:rPr>
              <w:t>860</w:t>
            </w:r>
          </w:p>
        </w:tc>
        <w:tc>
          <w:tcPr>
            <w:tcW w:w="1010" w:type="dxa"/>
            <w:shd w:val="clear" w:color="auto" w:fill="FDE9D9"/>
            <w:noWrap/>
            <w:tcMar>
              <w:top w:w="0" w:type="dxa"/>
              <w:left w:w="70" w:type="dxa"/>
              <w:bottom w:w="0" w:type="dxa"/>
              <w:right w:w="70" w:type="dxa"/>
            </w:tcMar>
            <w:vAlign w:val="center"/>
            <w:hideMark/>
          </w:tcPr>
          <w:p w:rsidR="009D2280" w:rsidRPr="009D2280" w:rsidRDefault="005F18F0" w:rsidP="009D2280">
            <w:pPr>
              <w:tabs>
                <w:tab w:val="left" w:pos="5954"/>
              </w:tabs>
              <w:rPr>
                <w:rFonts w:cs="Arial"/>
                <w:sz w:val="20"/>
              </w:rPr>
            </w:pPr>
            <w:r>
              <w:rPr>
                <w:rFonts w:cs="Arial"/>
                <w:sz w:val="20"/>
              </w:rPr>
              <w:t xml:space="preserve">    </w:t>
            </w:r>
            <w:r w:rsidR="009D2280" w:rsidRPr="009D2280">
              <w:rPr>
                <w:rFonts w:cs="Arial"/>
                <w:sz w:val="20"/>
              </w:rPr>
              <w:t>690</w:t>
            </w:r>
          </w:p>
        </w:tc>
        <w:tc>
          <w:tcPr>
            <w:tcW w:w="1009" w:type="dxa"/>
            <w:shd w:val="clear" w:color="auto" w:fill="FDE9D9"/>
            <w:noWrap/>
            <w:tcMar>
              <w:top w:w="0" w:type="dxa"/>
              <w:left w:w="70" w:type="dxa"/>
              <w:bottom w:w="0" w:type="dxa"/>
              <w:right w:w="70" w:type="dxa"/>
            </w:tcMar>
            <w:vAlign w:val="center"/>
            <w:hideMark/>
          </w:tcPr>
          <w:p w:rsidR="009D2280" w:rsidRPr="009D2280" w:rsidRDefault="005F18F0" w:rsidP="009D2280">
            <w:pPr>
              <w:tabs>
                <w:tab w:val="left" w:pos="5954"/>
              </w:tabs>
              <w:rPr>
                <w:rFonts w:cs="Arial"/>
                <w:sz w:val="20"/>
              </w:rPr>
            </w:pPr>
            <w:r>
              <w:rPr>
                <w:rFonts w:cs="Arial"/>
                <w:sz w:val="20"/>
              </w:rPr>
              <w:t xml:space="preserve">    </w:t>
            </w:r>
            <w:r w:rsidR="009D2280" w:rsidRPr="009D2280">
              <w:rPr>
                <w:rFonts w:cs="Arial"/>
                <w:sz w:val="20"/>
              </w:rPr>
              <w:t>440</w:t>
            </w:r>
          </w:p>
        </w:tc>
        <w:tc>
          <w:tcPr>
            <w:tcW w:w="1010" w:type="dxa"/>
            <w:shd w:val="clear" w:color="auto" w:fill="FDE9D9"/>
            <w:noWrap/>
            <w:tcMar>
              <w:top w:w="0" w:type="dxa"/>
              <w:left w:w="70" w:type="dxa"/>
              <w:bottom w:w="0" w:type="dxa"/>
              <w:right w:w="70" w:type="dxa"/>
            </w:tcMar>
            <w:vAlign w:val="center"/>
            <w:hideMark/>
          </w:tcPr>
          <w:p w:rsidR="009D2280" w:rsidRPr="009D2280" w:rsidRDefault="005F18F0" w:rsidP="009D2280">
            <w:pPr>
              <w:tabs>
                <w:tab w:val="left" w:pos="5954"/>
              </w:tabs>
              <w:rPr>
                <w:rFonts w:cs="Arial"/>
                <w:sz w:val="20"/>
              </w:rPr>
            </w:pPr>
            <w:r>
              <w:rPr>
                <w:rFonts w:cs="Arial"/>
                <w:sz w:val="20"/>
              </w:rPr>
              <w:t xml:space="preserve">    </w:t>
            </w:r>
            <w:r w:rsidR="009D2280" w:rsidRPr="009D2280">
              <w:rPr>
                <w:rFonts w:cs="Arial"/>
                <w:sz w:val="20"/>
              </w:rPr>
              <w:t>261</w:t>
            </w:r>
          </w:p>
        </w:tc>
      </w:tr>
      <w:tr w:rsidR="009D2280" w:rsidRPr="009D2280" w:rsidTr="005F18F0">
        <w:trPr>
          <w:trHeight w:val="240"/>
        </w:trPr>
        <w:tc>
          <w:tcPr>
            <w:tcW w:w="4396" w:type="dxa"/>
            <w:shd w:val="clear" w:color="auto" w:fill="FCD5B4"/>
            <w:noWrap/>
            <w:tcMar>
              <w:top w:w="0" w:type="dxa"/>
              <w:left w:w="70" w:type="dxa"/>
              <w:bottom w:w="0" w:type="dxa"/>
              <w:right w:w="70" w:type="dxa"/>
            </w:tcMar>
            <w:vAlign w:val="center"/>
            <w:hideMark/>
          </w:tcPr>
          <w:p w:rsidR="009D2280" w:rsidRPr="009D2280" w:rsidRDefault="009D2280" w:rsidP="009D2280">
            <w:pPr>
              <w:tabs>
                <w:tab w:val="left" w:pos="5954"/>
              </w:tabs>
              <w:rPr>
                <w:rFonts w:cs="Arial"/>
                <w:sz w:val="20"/>
              </w:rPr>
            </w:pPr>
            <w:r w:rsidRPr="009D2280">
              <w:rPr>
                <w:rFonts w:cs="Arial"/>
                <w:sz w:val="20"/>
              </w:rPr>
              <w:t>Saldo nieuw beleid</w:t>
            </w:r>
          </w:p>
        </w:tc>
        <w:tc>
          <w:tcPr>
            <w:tcW w:w="1009" w:type="dxa"/>
            <w:shd w:val="clear" w:color="auto" w:fill="FDE9D9"/>
            <w:noWrap/>
            <w:tcMar>
              <w:top w:w="0" w:type="dxa"/>
              <w:left w:w="70" w:type="dxa"/>
              <w:bottom w:w="0" w:type="dxa"/>
              <w:right w:w="70" w:type="dxa"/>
            </w:tcMar>
            <w:vAlign w:val="center"/>
            <w:hideMark/>
          </w:tcPr>
          <w:p w:rsidR="009D2280" w:rsidRPr="009D2280" w:rsidRDefault="005F18F0" w:rsidP="009D2280">
            <w:pPr>
              <w:tabs>
                <w:tab w:val="left" w:pos="5954"/>
              </w:tabs>
              <w:rPr>
                <w:rFonts w:cs="Arial"/>
                <w:sz w:val="20"/>
              </w:rPr>
            </w:pPr>
            <w:r>
              <w:rPr>
                <w:rFonts w:cs="Arial"/>
                <w:sz w:val="20"/>
              </w:rPr>
              <w:t xml:space="preserve">  </w:t>
            </w:r>
            <w:r w:rsidR="009D2280" w:rsidRPr="009D2280">
              <w:rPr>
                <w:rFonts w:cs="Arial"/>
                <w:sz w:val="20"/>
              </w:rPr>
              <w:t>- 514</w:t>
            </w:r>
          </w:p>
        </w:tc>
        <w:tc>
          <w:tcPr>
            <w:tcW w:w="1010" w:type="dxa"/>
            <w:shd w:val="clear" w:color="auto" w:fill="FDE9D9"/>
            <w:noWrap/>
            <w:tcMar>
              <w:top w:w="0" w:type="dxa"/>
              <w:left w:w="70" w:type="dxa"/>
              <w:bottom w:w="0" w:type="dxa"/>
              <w:right w:w="70" w:type="dxa"/>
            </w:tcMar>
            <w:vAlign w:val="center"/>
            <w:hideMark/>
          </w:tcPr>
          <w:p w:rsidR="009D2280" w:rsidRPr="009D2280" w:rsidRDefault="005F18F0" w:rsidP="009D2280">
            <w:pPr>
              <w:tabs>
                <w:tab w:val="left" w:pos="5954"/>
              </w:tabs>
              <w:rPr>
                <w:rFonts w:cs="Arial"/>
                <w:sz w:val="20"/>
              </w:rPr>
            </w:pPr>
            <w:r>
              <w:rPr>
                <w:rFonts w:cs="Arial"/>
                <w:sz w:val="20"/>
              </w:rPr>
              <w:t xml:space="preserve">  </w:t>
            </w:r>
            <w:r w:rsidR="009D2280" w:rsidRPr="009D2280">
              <w:rPr>
                <w:rFonts w:cs="Arial"/>
                <w:sz w:val="20"/>
              </w:rPr>
              <w:t>- 421</w:t>
            </w:r>
          </w:p>
        </w:tc>
        <w:tc>
          <w:tcPr>
            <w:tcW w:w="1009" w:type="dxa"/>
            <w:shd w:val="clear" w:color="auto" w:fill="FDE9D9"/>
            <w:noWrap/>
            <w:tcMar>
              <w:top w:w="0" w:type="dxa"/>
              <w:left w:w="70" w:type="dxa"/>
              <w:bottom w:w="0" w:type="dxa"/>
              <w:right w:w="70" w:type="dxa"/>
            </w:tcMar>
            <w:vAlign w:val="center"/>
            <w:hideMark/>
          </w:tcPr>
          <w:p w:rsidR="009D2280" w:rsidRPr="009D2280" w:rsidRDefault="005F18F0" w:rsidP="009D2280">
            <w:pPr>
              <w:tabs>
                <w:tab w:val="left" w:pos="5954"/>
              </w:tabs>
              <w:rPr>
                <w:rFonts w:cs="Arial"/>
                <w:sz w:val="20"/>
              </w:rPr>
            </w:pPr>
            <w:r>
              <w:rPr>
                <w:rFonts w:cs="Arial"/>
                <w:sz w:val="20"/>
              </w:rPr>
              <w:t xml:space="preserve">  </w:t>
            </w:r>
            <w:r w:rsidR="009D2280" w:rsidRPr="009D2280">
              <w:rPr>
                <w:rFonts w:cs="Arial"/>
                <w:sz w:val="20"/>
              </w:rPr>
              <w:t>- 421</w:t>
            </w:r>
          </w:p>
        </w:tc>
        <w:tc>
          <w:tcPr>
            <w:tcW w:w="1010" w:type="dxa"/>
            <w:shd w:val="clear" w:color="auto" w:fill="FDE9D9"/>
            <w:noWrap/>
            <w:tcMar>
              <w:top w:w="0" w:type="dxa"/>
              <w:left w:w="70" w:type="dxa"/>
              <w:bottom w:w="0" w:type="dxa"/>
              <w:right w:w="70" w:type="dxa"/>
            </w:tcMar>
            <w:vAlign w:val="center"/>
            <w:hideMark/>
          </w:tcPr>
          <w:p w:rsidR="009D2280" w:rsidRPr="009D2280" w:rsidRDefault="005F18F0" w:rsidP="009D2280">
            <w:pPr>
              <w:tabs>
                <w:tab w:val="left" w:pos="5954"/>
              </w:tabs>
              <w:rPr>
                <w:rFonts w:cs="Arial"/>
                <w:sz w:val="20"/>
              </w:rPr>
            </w:pPr>
            <w:r>
              <w:rPr>
                <w:rFonts w:cs="Arial"/>
                <w:sz w:val="20"/>
              </w:rPr>
              <w:t xml:space="preserve">  </w:t>
            </w:r>
            <w:r w:rsidR="009D2280" w:rsidRPr="009D2280">
              <w:rPr>
                <w:rFonts w:cs="Arial"/>
                <w:sz w:val="20"/>
              </w:rPr>
              <w:t>- 421</w:t>
            </w:r>
          </w:p>
        </w:tc>
      </w:tr>
      <w:tr w:rsidR="009D2280" w:rsidRPr="009D2280" w:rsidTr="005F18F0">
        <w:trPr>
          <w:trHeight w:val="240"/>
        </w:trPr>
        <w:tc>
          <w:tcPr>
            <w:tcW w:w="4396" w:type="dxa"/>
            <w:shd w:val="clear" w:color="auto" w:fill="FCD5B4"/>
            <w:noWrap/>
            <w:tcMar>
              <w:top w:w="0" w:type="dxa"/>
              <w:left w:w="70" w:type="dxa"/>
              <w:bottom w:w="0" w:type="dxa"/>
              <w:right w:w="70" w:type="dxa"/>
            </w:tcMar>
            <w:vAlign w:val="center"/>
            <w:hideMark/>
          </w:tcPr>
          <w:p w:rsidR="009D2280" w:rsidRPr="009D2280" w:rsidRDefault="009D2280" w:rsidP="009D2280">
            <w:pPr>
              <w:tabs>
                <w:tab w:val="left" w:pos="5954"/>
              </w:tabs>
              <w:rPr>
                <w:rFonts w:cs="Arial"/>
                <w:sz w:val="20"/>
              </w:rPr>
            </w:pPr>
            <w:r w:rsidRPr="009D2280">
              <w:rPr>
                <w:rFonts w:cs="Arial"/>
                <w:sz w:val="20"/>
              </w:rPr>
              <w:t> </w:t>
            </w:r>
          </w:p>
        </w:tc>
        <w:tc>
          <w:tcPr>
            <w:tcW w:w="1009" w:type="dxa"/>
            <w:shd w:val="clear" w:color="auto" w:fill="FDE9D9"/>
            <w:noWrap/>
            <w:tcMar>
              <w:top w:w="0" w:type="dxa"/>
              <w:left w:w="70" w:type="dxa"/>
              <w:bottom w:w="0" w:type="dxa"/>
              <w:right w:w="70" w:type="dxa"/>
            </w:tcMar>
            <w:vAlign w:val="center"/>
            <w:hideMark/>
          </w:tcPr>
          <w:p w:rsidR="009D2280" w:rsidRPr="009D2280" w:rsidRDefault="009D2280" w:rsidP="009D2280">
            <w:pPr>
              <w:tabs>
                <w:tab w:val="left" w:pos="5954"/>
              </w:tabs>
              <w:rPr>
                <w:rFonts w:cs="Arial"/>
                <w:sz w:val="20"/>
              </w:rPr>
            </w:pPr>
            <w:r w:rsidRPr="009D2280">
              <w:rPr>
                <w:rFonts w:cs="Arial"/>
                <w:sz w:val="20"/>
              </w:rPr>
              <w:t> </w:t>
            </w:r>
          </w:p>
        </w:tc>
        <w:tc>
          <w:tcPr>
            <w:tcW w:w="1010" w:type="dxa"/>
            <w:shd w:val="clear" w:color="auto" w:fill="FDE9D9"/>
            <w:noWrap/>
            <w:tcMar>
              <w:top w:w="0" w:type="dxa"/>
              <w:left w:w="70" w:type="dxa"/>
              <w:bottom w:w="0" w:type="dxa"/>
              <w:right w:w="70" w:type="dxa"/>
            </w:tcMar>
            <w:vAlign w:val="center"/>
            <w:hideMark/>
          </w:tcPr>
          <w:p w:rsidR="009D2280" w:rsidRPr="009D2280" w:rsidRDefault="009D2280" w:rsidP="009D2280">
            <w:pPr>
              <w:tabs>
                <w:tab w:val="left" w:pos="5954"/>
              </w:tabs>
              <w:rPr>
                <w:rFonts w:cs="Arial"/>
                <w:sz w:val="20"/>
              </w:rPr>
            </w:pPr>
            <w:r w:rsidRPr="009D2280">
              <w:rPr>
                <w:rFonts w:cs="Arial"/>
                <w:sz w:val="20"/>
              </w:rPr>
              <w:t> </w:t>
            </w:r>
          </w:p>
        </w:tc>
        <w:tc>
          <w:tcPr>
            <w:tcW w:w="1009" w:type="dxa"/>
            <w:shd w:val="clear" w:color="auto" w:fill="FDE9D9"/>
            <w:noWrap/>
            <w:tcMar>
              <w:top w:w="0" w:type="dxa"/>
              <w:left w:w="70" w:type="dxa"/>
              <w:bottom w:w="0" w:type="dxa"/>
              <w:right w:w="70" w:type="dxa"/>
            </w:tcMar>
            <w:vAlign w:val="center"/>
            <w:hideMark/>
          </w:tcPr>
          <w:p w:rsidR="009D2280" w:rsidRPr="009D2280" w:rsidRDefault="009D2280" w:rsidP="009D2280">
            <w:pPr>
              <w:tabs>
                <w:tab w:val="left" w:pos="5954"/>
              </w:tabs>
              <w:rPr>
                <w:rFonts w:cs="Arial"/>
                <w:sz w:val="20"/>
              </w:rPr>
            </w:pPr>
            <w:r w:rsidRPr="009D2280">
              <w:rPr>
                <w:rFonts w:cs="Arial"/>
                <w:sz w:val="20"/>
              </w:rPr>
              <w:t> </w:t>
            </w:r>
          </w:p>
        </w:tc>
        <w:tc>
          <w:tcPr>
            <w:tcW w:w="1010" w:type="dxa"/>
            <w:shd w:val="clear" w:color="auto" w:fill="FDE9D9"/>
            <w:noWrap/>
            <w:tcMar>
              <w:top w:w="0" w:type="dxa"/>
              <w:left w:w="70" w:type="dxa"/>
              <w:bottom w:w="0" w:type="dxa"/>
              <w:right w:w="70" w:type="dxa"/>
            </w:tcMar>
            <w:vAlign w:val="center"/>
            <w:hideMark/>
          </w:tcPr>
          <w:p w:rsidR="009D2280" w:rsidRPr="009D2280" w:rsidRDefault="009D2280" w:rsidP="009D2280">
            <w:pPr>
              <w:tabs>
                <w:tab w:val="left" w:pos="5954"/>
              </w:tabs>
              <w:rPr>
                <w:rFonts w:cs="Arial"/>
                <w:sz w:val="20"/>
              </w:rPr>
            </w:pPr>
            <w:r w:rsidRPr="009D2280">
              <w:rPr>
                <w:rFonts w:cs="Arial"/>
                <w:sz w:val="20"/>
              </w:rPr>
              <w:t> </w:t>
            </w:r>
          </w:p>
        </w:tc>
      </w:tr>
      <w:tr w:rsidR="009D2280" w:rsidRPr="009D2280" w:rsidTr="005F18F0">
        <w:trPr>
          <w:trHeight w:val="240"/>
        </w:trPr>
        <w:tc>
          <w:tcPr>
            <w:tcW w:w="4396" w:type="dxa"/>
            <w:shd w:val="clear" w:color="auto" w:fill="CC071E"/>
            <w:noWrap/>
            <w:tcMar>
              <w:top w:w="0" w:type="dxa"/>
              <w:left w:w="70" w:type="dxa"/>
              <w:bottom w:w="0" w:type="dxa"/>
              <w:right w:w="70" w:type="dxa"/>
            </w:tcMar>
            <w:vAlign w:val="center"/>
            <w:hideMark/>
          </w:tcPr>
          <w:p w:rsidR="009D2280" w:rsidRPr="009D2280" w:rsidRDefault="009D2280" w:rsidP="009D2280">
            <w:pPr>
              <w:tabs>
                <w:tab w:val="left" w:pos="5954"/>
              </w:tabs>
              <w:rPr>
                <w:rFonts w:cs="Arial"/>
                <w:bCs/>
                <w:sz w:val="20"/>
              </w:rPr>
            </w:pPr>
            <w:r w:rsidRPr="009D2280">
              <w:rPr>
                <w:rFonts w:cs="Arial"/>
                <w:bCs/>
                <w:sz w:val="20"/>
              </w:rPr>
              <w:t>Totaal begrotingsperspectief</w:t>
            </w:r>
            <w:r w:rsidR="005F18F0">
              <w:rPr>
                <w:rFonts w:cs="Arial"/>
                <w:bCs/>
                <w:sz w:val="20"/>
              </w:rPr>
              <w:t xml:space="preserve"> 2018-2021</w:t>
            </w:r>
          </w:p>
        </w:tc>
        <w:tc>
          <w:tcPr>
            <w:tcW w:w="1009" w:type="dxa"/>
            <w:shd w:val="clear" w:color="auto" w:fill="CC071E"/>
            <w:noWrap/>
            <w:tcMar>
              <w:top w:w="0" w:type="dxa"/>
              <w:left w:w="70" w:type="dxa"/>
              <w:bottom w:w="0" w:type="dxa"/>
              <w:right w:w="70" w:type="dxa"/>
            </w:tcMar>
            <w:vAlign w:val="center"/>
            <w:hideMark/>
          </w:tcPr>
          <w:p w:rsidR="009D2280" w:rsidRPr="009D2280" w:rsidRDefault="005F18F0" w:rsidP="009D2280">
            <w:pPr>
              <w:tabs>
                <w:tab w:val="left" w:pos="5954"/>
              </w:tabs>
              <w:rPr>
                <w:rFonts w:cs="Arial"/>
                <w:bCs/>
                <w:sz w:val="20"/>
              </w:rPr>
            </w:pPr>
            <w:r>
              <w:rPr>
                <w:rFonts w:cs="Arial"/>
                <w:bCs/>
                <w:sz w:val="20"/>
              </w:rPr>
              <w:t xml:space="preserve">    </w:t>
            </w:r>
            <w:r w:rsidR="009D2280" w:rsidRPr="009D2280">
              <w:rPr>
                <w:rFonts w:cs="Arial"/>
                <w:bCs/>
                <w:sz w:val="20"/>
              </w:rPr>
              <w:t>346</w:t>
            </w:r>
          </w:p>
        </w:tc>
        <w:tc>
          <w:tcPr>
            <w:tcW w:w="1010" w:type="dxa"/>
            <w:shd w:val="clear" w:color="auto" w:fill="CC071E"/>
            <w:noWrap/>
            <w:tcMar>
              <w:top w:w="0" w:type="dxa"/>
              <w:left w:w="70" w:type="dxa"/>
              <w:bottom w:w="0" w:type="dxa"/>
              <w:right w:w="70" w:type="dxa"/>
            </w:tcMar>
            <w:vAlign w:val="center"/>
            <w:hideMark/>
          </w:tcPr>
          <w:p w:rsidR="009D2280" w:rsidRPr="009D2280" w:rsidRDefault="005F18F0" w:rsidP="009D2280">
            <w:pPr>
              <w:tabs>
                <w:tab w:val="left" w:pos="5954"/>
              </w:tabs>
              <w:rPr>
                <w:rFonts w:cs="Arial"/>
                <w:bCs/>
                <w:sz w:val="20"/>
              </w:rPr>
            </w:pPr>
            <w:r>
              <w:rPr>
                <w:rFonts w:cs="Arial"/>
                <w:bCs/>
                <w:sz w:val="20"/>
              </w:rPr>
              <w:t xml:space="preserve">    </w:t>
            </w:r>
            <w:r w:rsidR="009D2280" w:rsidRPr="009D2280">
              <w:rPr>
                <w:rFonts w:cs="Arial"/>
                <w:bCs/>
                <w:sz w:val="20"/>
              </w:rPr>
              <w:t>269</w:t>
            </w:r>
          </w:p>
        </w:tc>
        <w:tc>
          <w:tcPr>
            <w:tcW w:w="1009" w:type="dxa"/>
            <w:shd w:val="clear" w:color="auto" w:fill="CC071E"/>
            <w:noWrap/>
            <w:tcMar>
              <w:top w:w="0" w:type="dxa"/>
              <w:left w:w="70" w:type="dxa"/>
              <w:bottom w:w="0" w:type="dxa"/>
              <w:right w:w="70" w:type="dxa"/>
            </w:tcMar>
            <w:vAlign w:val="center"/>
            <w:hideMark/>
          </w:tcPr>
          <w:p w:rsidR="009D2280" w:rsidRPr="009D2280" w:rsidRDefault="005F18F0" w:rsidP="009D2280">
            <w:pPr>
              <w:tabs>
                <w:tab w:val="left" w:pos="5954"/>
              </w:tabs>
              <w:rPr>
                <w:rFonts w:cs="Arial"/>
                <w:bCs/>
                <w:sz w:val="20"/>
              </w:rPr>
            </w:pPr>
            <w:r>
              <w:rPr>
                <w:rFonts w:cs="Arial"/>
                <w:bCs/>
                <w:sz w:val="20"/>
              </w:rPr>
              <w:t xml:space="preserve">      </w:t>
            </w:r>
            <w:r w:rsidR="009D2280" w:rsidRPr="009D2280">
              <w:rPr>
                <w:rFonts w:cs="Arial"/>
                <w:bCs/>
                <w:sz w:val="20"/>
              </w:rPr>
              <w:t>19</w:t>
            </w:r>
          </w:p>
        </w:tc>
        <w:tc>
          <w:tcPr>
            <w:tcW w:w="1010" w:type="dxa"/>
            <w:shd w:val="clear" w:color="auto" w:fill="CC071E"/>
            <w:noWrap/>
            <w:tcMar>
              <w:top w:w="0" w:type="dxa"/>
              <w:left w:w="70" w:type="dxa"/>
              <w:bottom w:w="0" w:type="dxa"/>
              <w:right w:w="70" w:type="dxa"/>
            </w:tcMar>
            <w:vAlign w:val="center"/>
            <w:hideMark/>
          </w:tcPr>
          <w:p w:rsidR="009D2280" w:rsidRPr="009D2280" w:rsidRDefault="005F18F0" w:rsidP="009D2280">
            <w:pPr>
              <w:tabs>
                <w:tab w:val="left" w:pos="5954"/>
              </w:tabs>
              <w:rPr>
                <w:rFonts w:cs="Arial"/>
                <w:bCs/>
                <w:sz w:val="20"/>
              </w:rPr>
            </w:pPr>
            <w:r>
              <w:rPr>
                <w:rFonts w:cs="Arial"/>
                <w:bCs/>
                <w:sz w:val="20"/>
              </w:rPr>
              <w:t xml:space="preserve">  </w:t>
            </w:r>
            <w:r w:rsidR="009D2280" w:rsidRPr="009D2280">
              <w:rPr>
                <w:rFonts w:cs="Arial"/>
                <w:bCs/>
                <w:sz w:val="20"/>
              </w:rPr>
              <w:t>- 160</w:t>
            </w:r>
          </w:p>
        </w:tc>
      </w:tr>
    </w:tbl>
    <w:p w:rsidR="009D2280" w:rsidRPr="009D2280" w:rsidRDefault="009D2280" w:rsidP="009D2280">
      <w:pPr>
        <w:tabs>
          <w:tab w:val="left" w:pos="5954"/>
        </w:tabs>
        <w:rPr>
          <w:rFonts w:cs="Arial"/>
          <w:sz w:val="20"/>
          <w:lang w:val="nl"/>
        </w:rPr>
      </w:pPr>
    </w:p>
    <w:p w:rsidR="005F18F0" w:rsidRPr="005F18F0" w:rsidRDefault="005F18F0" w:rsidP="005F18F0">
      <w:pPr>
        <w:tabs>
          <w:tab w:val="left" w:pos="5954"/>
        </w:tabs>
        <w:rPr>
          <w:rFonts w:cs="Arial"/>
          <w:sz w:val="20"/>
        </w:rPr>
      </w:pPr>
      <w:r w:rsidRPr="005F18F0">
        <w:rPr>
          <w:rFonts w:cs="Arial"/>
          <w:sz w:val="20"/>
        </w:rPr>
        <w:t xml:space="preserve">Voor het afschermen van risico’s hebben we een gekwantificeerd bedrag beschikbaar in de </w:t>
      </w:r>
      <w:r>
        <w:rPr>
          <w:rFonts w:cs="Arial"/>
          <w:sz w:val="20"/>
        </w:rPr>
        <w:t>A</w:t>
      </w:r>
      <w:r w:rsidRPr="005F18F0">
        <w:rPr>
          <w:rFonts w:cs="Arial"/>
          <w:sz w:val="20"/>
        </w:rPr>
        <w:t>lgemene reserve. Daarnaast hebben we de risico’s binnen het Sociaal Domein zo goed mogelijk in beeld; de reserve Sociaal Domein hebben we achter de hand om jaarlijkse schommelingen op te kunnen vangen.</w:t>
      </w:r>
    </w:p>
    <w:p w:rsidR="005F18F0" w:rsidRPr="005F18F0" w:rsidRDefault="005F18F0" w:rsidP="005F18F0">
      <w:pPr>
        <w:tabs>
          <w:tab w:val="left" w:pos="5954"/>
        </w:tabs>
        <w:rPr>
          <w:rFonts w:cs="Arial"/>
          <w:sz w:val="20"/>
        </w:rPr>
      </w:pPr>
      <w:r w:rsidRPr="005F18F0">
        <w:rPr>
          <w:rFonts w:cs="Arial"/>
          <w:sz w:val="20"/>
        </w:rPr>
        <w:t>Het financiële meerjarenbeeld geeft nu aan dat we u een stabiel meerjarenperspectief kunnen presenteren voor de komende jaren. Het positieve begrotingsperspectief geeft ons geen aanleiding om te komen met nadere dekkingsvoorstellen.</w:t>
      </w:r>
    </w:p>
    <w:p w:rsidR="005F18F0" w:rsidRDefault="005F18F0" w:rsidP="005F18F0">
      <w:pPr>
        <w:tabs>
          <w:tab w:val="left" w:pos="5954"/>
        </w:tabs>
        <w:rPr>
          <w:rFonts w:cs="Arial"/>
          <w:sz w:val="20"/>
        </w:rPr>
      </w:pPr>
    </w:p>
    <w:p w:rsidR="005F18F0" w:rsidRPr="005F18F0" w:rsidRDefault="005F18F0" w:rsidP="005F18F0">
      <w:pPr>
        <w:tabs>
          <w:tab w:val="left" w:pos="5954"/>
        </w:tabs>
        <w:rPr>
          <w:rFonts w:cs="Arial"/>
          <w:sz w:val="20"/>
        </w:rPr>
      </w:pPr>
      <w:r w:rsidRPr="005F18F0">
        <w:rPr>
          <w:rFonts w:cs="Arial"/>
          <w:sz w:val="20"/>
        </w:rPr>
        <w:t>Het bestaande en breed gedragen behoedzame financiële beleid is ook de komende jaren ons uitgangspunt.</w:t>
      </w:r>
    </w:p>
    <w:p w:rsidR="00481C9E" w:rsidRPr="009D4576" w:rsidRDefault="00481C9E" w:rsidP="008D3E53">
      <w:pPr>
        <w:tabs>
          <w:tab w:val="left" w:pos="5954"/>
        </w:tabs>
        <w:rPr>
          <w:rFonts w:cs="Arial"/>
          <w:sz w:val="20"/>
        </w:rPr>
      </w:pPr>
    </w:p>
    <w:p w:rsidR="00CA6415" w:rsidRPr="009D4576" w:rsidRDefault="00CA6415" w:rsidP="008D3E53">
      <w:pPr>
        <w:tabs>
          <w:tab w:val="left" w:pos="5954"/>
        </w:tabs>
        <w:rPr>
          <w:rFonts w:cs="Arial"/>
          <w:sz w:val="20"/>
        </w:rPr>
      </w:pPr>
    </w:p>
    <w:p w:rsidR="00B834B9" w:rsidRPr="009D4576" w:rsidRDefault="00B834B9" w:rsidP="00B834B9">
      <w:pPr>
        <w:pBdr>
          <w:top w:val="single" w:sz="4" w:space="1" w:color="auto"/>
        </w:pBdr>
        <w:tabs>
          <w:tab w:val="left" w:pos="5954"/>
        </w:tabs>
        <w:rPr>
          <w:rFonts w:cs="Arial"/>
          <w:b/>
          <w:color w:val="FF0000"/>
          <w:sz w:val="24"/>
          <w:szCs w:val="24"/>
        </w:rPr>
      </w:pPr>
      <w:r w:rsidRPr="009D4576">
        <w:rPr>
          <w:rFonts w:cs="Arial"/>
          <w:b/>
          <w:color w:val="FF0000"/>
          <w:sz w:val="24"/>
          <w:szCs w:val="24"/>
        </w:rPr>
        <w:t>Juridische toelichting</w:t>
      </w:r>
    </w:p>
    <w:p w:rsidR="00B834B9" w:rsidRPr="009D4576" w:rsidRDefault="00C024FD" w:rsidP="00B834B9">
      <w:pPr>
        <w:tabs>
          <w:tab w:val="left" w:pos="5954"/>
        </w:tabs>
        <w:rPr>
          <w:rFonts w:cs="Arial"/>
          <w:sz w:val="20"/>
        </w:rPr>
      </w:pPr>
      <w:r w:rsidRPr="009D4576">
        <w:rPr>
          <w:rFonts w:cs="Arial"/>
          <w:sz w:val="20"/>
        </w:rPr>
        <w:fldChar w:fldCharType="begin">
          <w:ffData>
            <w:name w:val="Tekstvak3"/>
            <w:enabled/>
            <w:calcOnExit w:val="0"/>
            <w:textInput/>
          </w:ffData>
        </w:fldChar>
      </w:r>
      <w:r w:rsidRPr="009D4576">
        <w:rPr>
          <w:rFonts w:cs="Arial"/>
          <w:sz w:val="20"/>
        </w:rPr>
        <w:instrText xml:space="preserve"> FORMTEXT </w:instrText>
      </w:r>
      <w:r w:rsidRPr="009D4576">
        <w:rPr>
          <w:rFonts w:cs="Arial"/>
          <w:sz w:val="20"/>
        </w:rPr>
      </w:r>
      <w:r w:rsidRPr="009D4576">
        <w:rPr>
          <w:rFonts w:cs="Arial"/>
          <w:sz w:val="20"/>
        </w:rPr>
        <w:fldChar w:fldCharType="separate"/>
      </w:r>
      <w:r w:rsidRPr="009D4576">
        <w:rPr>
          <w:rFonts w:cs="Arial"/>
          <w:noProof/>
          <w:sz w:val="20"/>
        </w:rPr>
        <w:t> </w:t>
      </w:r>
      <w:r w:rsidRPr="009D4576">
        <w:rPr>
          <w:rFonts w:cs="Arial"/>
          <w:noProof/>
          <w:sz w:val="20"/>
        </w:rPr>
        <w:t> </w:t>
      </w:r>
      <w:r w:rsidRPr="009D4576">
        <w:rPr>
          <w:rFonts w:cs="Arial"/>
          <w:noProof/>
          <w:sz w:val="20"/>
        </w:rPr>
        <w:t> </w:t>
      </w:r>
      <w:r w:rsidRPr="009D4576">
        <w:rPr>
          <w:rFonts w:cs="Arial"/>
          <w:noProof/>
          <w:sz w:val="20"/>
        </w:rPr>
        <w:t> </w:t>
      </w:r>
      <w:r w:rsidRPr="009D4576">
        <w:rPr>
          <w:rFonts w:cs="Arial"/>
          <w:noProof/>
          <w:sz w:val="20"/>
        </w:rPr>
        <w:t> </w:t>
      </w:r>
      <w:r w:rsidRPr="009D4576">
        <w:rPr>
          <w:rFonts w:cs="Arial"/>
          <w:sz w:val="20"/>
        </w:rPr>
        <w:fldChar w:fldCharType="end"/>
      </w:r>
    </w:p>
    <w:p w:rsidR="00CA6415" w:rsidRPr="009D4576" w:rsidRDefault="00CA6415" w:rsidP="00B834B9">
      <w:pPr>
        <w:tabs>
          <w:tab w:val="left" w:pos="5954"/>
        </w:tabs>
        <w:rPr>
          <w:rFonts w:cs="Arial"/>
          <w:sz w:val="20"/>
        </w:rPr>
      </w:pPr>
    </w:p>
    <w:p w:rsidR="00481C9E" w:rsidRPr="009D4576" w:rsidRDefault="00481C9E" w:rsidP="008D3E53">
      <w:pPr>
        <w:pBdr>
          <w:top w:val="single" w:sz="4" w:space="1" w:color="auto"/>
        </w:pBdr>
        <w:tabs>
          <w:tab w:val="left" w:pos="5954"/>
        </w:tabs>
        <w:rPr>
          <w:rFonts w:cs="Arial"/>
          <w:b/>
          <w:color w:val="FF0000"/>
          <w:sz w:val="24"/>
          <w:szCs w:val="24"/>
        </w:rPr>
      </w:pPr>
      <w:r w:rsidRPr="009D4576">
        <w:rPr>
          <w:rFonts w:cs="Arial"/>
          <w:b/>
          <w:color w:val="FF0000"/>
          <w:sz w:val="24"/>
          <w:szCs w:val="24"/>
        </w:rPr>
        <w:t>Publicatie</w:t>
      </w:r>
    </w:p>
    <w:p w:rsidR="00481C9E" w:rsidRPr="009D4576" w:rsidRDefault="00C024FD" w:rsidP="008D3E53">
      <w:pPr>
        <w:tabs>
          <w:tab w:val="left" w:pos="5954"/>
        </w:tabs>
        <w:rPr>
          <w:rFonts w:cs="Arial"/>
          <w:sz w:val="20"/>
        </w:rPr>
      </w:pPr>
      <w:r w:rsidRPr="009D4576">
        <w:rPr>
          <w:rFonts w:cs="Arial"/>
          <w:sz w:val="20"/>
        </w:rPr>
        <w:fldChar w:fldCharType="begin">
          <w:ffData>
            <w:name w:val="Tekstvak3"/>
            <w:enabled/>
            <w:calcOnExit w:val="0"/>
            <w:textInput/>
          </w:ffData>
        </w:fldChar>
      </w:r>
      <w:r w:rsidRPr="009D4576">
        <w:rPr>
          <w:rFonts w:cs="Arial"/>
          <w:sz w:val="20"/>
        </w:rPr>
        <w:instrText xml:space="preserve"> FORMTEXT </w:instrText>
      </w:r>
      <w:r w:rsidRPr="009D4576">
        <w:rPr>
          <w:rFonts w:cs="Arial"/>
          <w:sz w:val="20"/>
        </w:rPr>
      </w:r>
      <w:r w:rsidRPr="009D4576">
        <w:rPr>
          <w:rFonts w:cs="Arial"/>
          <w:sz w:val="20"/>
        </w:rPr>
        <w:fldChar w:fldCharType="separate"/>
      </w:r>
      <w:r w:rsidRPr="009D4576">
        <w:rPr>
          <w:rFonts w:cs="Arial"/>
          <w:noProof/>
          <w:sz w:val="20"/>
        </w:rPr>
        <w:t> </w:t>
      </w:r>
      <w:r w:rsidRPr="009D4576">
        <w:rPr>
          <w:rFonts w:cs="Arial"/>
          <w:noProof/>
          <w:sz w:val="20"/>
        </w:rPr>
        <w:t> </w:t>
      </w:r>
      <w:r w:rsidRPr="009D4576">
        <w:rPr>
          <w:rFonts w:cs="Arial"/>
          <w:noProof/>
          <w:sz w:val="20"/>
        </w:rPr>
        <w:t> </w:t>
      </w:r>
      <w:r w:rsidRPr="009D4576">
        <w:rPr>
          <w:rFonts w:cs="Arial"/>
          <w:noProof/>
          <w:sz w:val="20"/>
        </w:rPr>
        <w:t> </w:t>
      </w:r>
      <w:r w:rsidRPr="009D4576">
        <w:rPr>
          <w:rFonts w:cs="Arial"/>
          <w:noProof/>
          <w:sz w:val="20"/>
        </w:rPr>
        <w:t> </w:t>
      </w:r>
      <w:r w:rsidRPr="009D4576">
        <w:rPr>
          <w:rFonts w:cs="Arial"/>
          <w:sz w:val="20"/>
        </w:rPr>
        <w:fldChar w:fldCharType="end"/>
      </w:r>
    </w:p>
    <w:p w:rsidR="00A31047" w:rsidRPr="009D4576" w:rsidRDefault="00A31047" w:rsidP="008D3E53">
      <w:pPr>
        <w:tabs>
          <w:tab w:val="left" w:pos="5954"/>
        </w:tabs>
        <w:rPr>
          <w:rFonts w:cs="Arial"/>
          <w:sz w:val="20"/>
        </w:rPr>
      </w:pPr>
    </w:p>
    <w:p w:rsidR="00481C9E" w:rsidRPr="009D4576" w:rsidRDefault="00481C9E" w:rsidP="008D3E53">
      <w:pPr>
        <w:pBdr>
          <w:top w:val="single" w:sz="4" w:space="1" w:color="auto"/>
        </w:pBdr>
        <w:tabs>
          <w:tab w:val="left" w:pos="5954"/>
        </w:tabs>
        <w:rPr>
          <w:rFonts w:cs="Arial"/>
          <w:b/>
          <w:color w:val="FF0000"/>
          <w:sz w:val="24"/>
          <w:szCs w:val="24"/>
        </w:rPr>
      </w:pPr>
      <w:r w:rsidRPr="009D4576">
        <w:rPr>
          <w:rFonts w:cs="Arial"/>
          <w:b/>
          <w:color w:val="FF0000"/>
          <w:sz w:val="24"/>
          <w:szCs w:val="24"/>
        </w:rPr>
        <w:t>Uitvoering</w:t>
      </w:r>
    </w:p>
    <w:p w:rsidR="0046158C" w:rsidRPr="009D4576" w:rsidRDefault="0046158C" w:rsidP="008D3E53">
      <w:pPr>
        <w:tabs>
          <w:tab w:val="left" w:pos="2552"/>
          <w:tab w:val="left" w:pos="2835"/>
        </w:tabs>
        <w:rPr>
          <w:rFonts w:cs="Arial"/>
          <w:sz w:val="20"/>
        </w:rPr>
      </w:pPr>
      <w:r w:rsidRPr="009D4576">
        <w:rPr>
          <w:rFonts w:cs="Arial"/>
          <w:sz w:val="20"/>
        </w:rPr>
        <w:t>a. Planning</w:t>
      </w:r>
    </w:p>
    <w:p w:rsidR="00C077CF" w:rsidRDefault="00C077CF" w:rsidP="00C077CF">
      <w:pPr>
        <w:tabs>
          <w:tab w:val="left" w:pos="2835"/>
          <w:tab w:val="left" w:pos="3119"/>
        </w:tabs>
        <w:rPr>
          <w:rFonts w:cs="Arial"/>
          <w:sz w:val="20"/>
        </w:rPr>
      </w:pPr>
      <w:r>
        <w:rPr>
          <w:rFonts w:cs="Arial"/>
          <w:sz w:val="20"/>
        </w:rPr>
        <w:t>31 oktober</w:t>
      </w:r>
      <w:r w:rsidRPr="00C077CF">
        <w:rPr>
          <w:rFonts w:cs="Arial"/>
          <w:sz w:val="20"/>
        </w:rPr>
        <w:t xml:space="preserve"> 2017 raadscommissie Planning &amp; Control</w:t>
      </w:r>
    </w:p>
    <w:p w:rsidR="00C077CF" w:rsidRPr="00C077CF" w:rsidRDefault="00C077CF" w:rsidP="00C077CF">
      <w:pPr>
        <w:tabs>
          <w:tab w:val="left" w:pos="2835"/>
          <w:tab w:val="left" w:pos="3119"/>
        </w:tabs>
        <w:rPr>
          <w:rFonts w:cs="Arial"/>
          <w:sz w:val="20"/>
        </w:rPr>
      </w:pPr>
      <w:r w:rsidRPr="00C077CF">
        <w:rPr>
          <w:rFonts w:cs="Arial"/>
          <w:sz w:val="20"/>
        </w:rPr>
        <w:t>7 november 2017</w:t>
      </w:r>
      <w:r>
        <w:rPr>
          <w:rFonts w:cs="Arial"/>
          <w:sz w:val="20"/>
        </w:rPr>
        <w:t xml:space="preserve"> raadsvergadering</w:t>
      </w:r>
    </w:p>
    <w:p w:rsidR="0046158C" w:rsidRPr="009D4576" w:rsidRDefault="0046158C" w:rsidP="008D3E53">
      <w:pPr>
        <w:tabs>
          <w:tab w:val="left" w:pos="2835"/>
          <w:tab w:val="left" w:pos="3119"/>
        </w:tabs>
        <w:rPr>
          <w:rFonts w:cs="Arial"/>
          <w:sz w:val="20"/>
        </w:rPr>
      </w:pPr>
    </w:p>
    <w:p w:rsidR="0046158C" w:rsidRPr="009D4576" w:rsidRDefault="00775147" w:rsidP="008D3E53">
      <w:pPr>
        <w:tabs>
          <w:tab w:val="left" w:pos="2552"/>
          <w:tab w:val="left" w:pos="2835"/>
        </w:tabs>
        <w:rPr>
          <w:rFonts w:cs="Arial"/>
          <w:sz w:val="20"/>
        </w:rPr>
      </w:pPr>
      <w:r w:rsidRPr="009D4576">
        <w:rPr>
          <w:rFonts w:cs="Arial"/>
          <w:sz w:val="20"/>
        </w:rPr>
        <w:t>b. Communi</w:t>
      </w:r>
      <w:r w:rsidR="0046158C" w:rsidRPr="009D4576">
        <w:rPr>
          <w:rFonts w:cs="Arial"/>
          <w:sz w:val="20"/>
        </w:rPr>
        <w:t>catie</w:t>
      </w:r>
    </w:p>
    <w:p w:rsidR="0046158C" w:rsidRPr="009D4576" w:rsidRDefault="00C024FD" w:rsidP="008D3E53">
      <w:pPr>
        <w:tabs>
          <w:tab w:val="left" w:pos="2835"/>
          <w:tab w:val="left" w:pos="3119"/>
        </w:tabs>
        <w:rPr>
          <w:rFonts w:cs="Arial"/>
          <w:sz w:val="20"/>
        </w:rPr>
      </w:pPr>
      <w:r w:rsidRPr="009D4576">
        <w:rPr>
          <w:rFonts w:cs="Arial"/>
          <w:sz w:val="20"/>
        </w:rPr>
        <w:fldChar w:fldCharType="begin">
          <w:ffData>
            <w:name w:val="Tekstvak3"/>
            <w:enabled/>
            <w:calcOnExit w:val="0"/>
            <w:textInput/>
          </w:ffData>
        </w:fldChar>
      </w:r>
      <w:r w:rsidRPr="009D4576">
        <w:rPr>
          <w:rFonts w:cs="Arial"/>
          <w:sz w:val="20"/>
        </w:rPr>
        <w:instrText xml:space="preserve"> FORMTEXT </w:instrText>
      </w:r>
      <w:r w:rsidRPr="009D4576">
        <w:rPr>
          <w:rFonts w:cs="Arial"/>
          <w:sz w:val="20"/>
        </w:rPr>
      </w:r>
      <w:r w:rsidRPr="009D4576">
        <w:rPr>
          <w:rFonts w:cs="Arial"/>
          <w:sz w:val="20"/>
        </w:rPr>
        <w:fldChar w:fldCharType="separate"/>
      </w:r>
      <w:r w:rsidRPr="009D4576">
        <w:rPr>
          <w:rFonts w:cs="Arial"/>
          <w:noProof/>
          <w:sz w:val="20"/>
        </w:rPr>
        <w:t> </w:t>
      </w:r>
      <w:r w:rsidRPr="009D4576">
        <w:rPr>
          <w:rFonts w:cs="Arial"/>
          <w:noProof/>
          <w:sz w:val="20"/>
        </w:rPr>
        <w:t> </w:t>
      </w:r>
      <w:r w:rsidRPr="009D4576">
        <w:rPr>
          <w:rFonts w:cs="Arial"/>
          <w:noProof/>
          <w:sz w:val="20"/>
        </w:rPr>
        <w:t> </w:t>
      </w:r>
      <w:r w:rsidRPr="009D4576">
        <w:rPr>
          <w:rFonts w:cs="Arial"/>
          <w:noProof/>
          <w:sz w:val="20"/>
        </w:rPr>
        <w:t> </w:t>
      </w:r>
      <w:r w:rsidRPr="009D4576">
        <w:rPr>
          <w:rFonts w:cs="Arial"/>
          <w:noProof/>
          <w:sz w:val="20"/>
        </w:rPr>
        <w:t> </w:t>
      </w:r>
      <w:r w:rsidRPr="009D4576">
        <w:rPr>
          <w:rFonts w:cs="Arial"/>
          <w:sz w:val="20"/>
        </w:rPr>
        <w:fldChar w:fldCharType="end"/>
      </w:r>
    </w:p>
    <w:p w:rsidR="0046158C" w:rsidRPr="009D4576" w:rsidRDefault="0046158C" w:rsidP="008D3E53">
      <w:pPr>
        <w:tabs>
          <w:tab w:val="left" w:pos="2552"/>
          <w:tab w:val="left" w:pos="2835"/>
        </w:tabs>
        <w:rPr>
          <w:rFonts w:cs="Arial"/>
          <w:sz w:val="20"/>
        </w:rPr>
      </w:pPr>
      <w:r w:rsidRPr="009D4576">
        <w:rPr>
          <w:rFonts w:cs="Arial"/>
          <w:sz w:val="20"/>
        </w:rPr>
        <w:t xml:space="preserve">c. Evaluatie / </w:t>
      </w:r>
      <w:r w:rsidR="00775147" w:rsidRPr="009D4576">
        <w:rPr>
          <w:rFonts w:cs="Arial"/>
          <w:sz w:val="20"/>
        </w:rPr>
        <w:t>controle</w:t>
      </w:r>
    </w:p>
    <w:p w:rsidR="0046158C" w:rsidRPr="009D4576" w:rsidRDefault="00C024FD" w:rsidP="008D3E53">
      <w:pPr>
        <w:tabs>
          <w:tab w:val="left" w:pos="2552"/>
          <w:tab w:val="left" w:pos="2835"/>
        </w:tabs>
        <w:rPr>
          <w:rFonts w:cs="Arial"/>
          <w:sz w:val="20"/>
        </w:rPr>
      </w:pPr>
      <w:r w:rsidRPr="009D4576">
        <w:rPr>
          <w:rFonts w:cs="Arial"/>
          <w:sz w:val="20"/>
        </w:rPr>
        <w:fldChar w:fldCharType="begin">
          <w:ffData>
            <w:name w:val="Tekstvak3"/>
            <w:enabled/>
            <w:calcOnExit w:val="0"/>
            <w:textInput/>
          </w:ffData>
        </w:fldChar>
      </w:r>
      <w:r w:rsidRPr="009D4576">
        <w:rPr>
          <w:rFonts w:cs="Arial"/>
          <w:sz w:val="20"/>
        </w:rPr>
        <w:instrText xml:space="preserve"> FORMTEXT </w:instrText>
      </w:r>
      <w:r w:rsidRPr="009D4576">
        <w:rPr>
          <w:rFonts w:cs="Arial"/>
          <w:sz w:val="20"/>
        </w:rPr>
      </w:r>
      <w:r w:rsidRPr="009D4576">
        <w:rPr>
          <w:rFonts w:cs="Arial"/>
          <w:sz w:val="20"/>
        </w:rPr>
        <w:fldChar w:fldCharType="separate"/>
      </w:r>
      <w:r w:rsidRPr="009D4576">
        <w:rPr>
          <w:rFonts w:cs="Arial"/>
          <w:noProof/>
          <w:sz w:val="20"/>
        </w:rPr>
        <w:t> </w:t>
      </w:r>
      <w:r w:rsidRPr="009D4576">
        <w:rPr>
          <w:rFonts w:cs="Arial"/>
          <w:noProof/>
          <w:sz w:val="20"/>
        </w:rPr>
        <w:t> </w:t>
      </w:r>
      <w:r w:rsidRPr="009D4576">
        <w:rPr>
          <w:rFonts w:cs="Arial"/>
          <w:noProof/>
          <w:sz w:val="20"/>
        </w:rPr>
        <w:t> </w:t>
      </w:r>
      <w:r w:rsidRPr="009D4576">
        <w:rPr>
          <w:rFonts w:cs="Arial"/>
          <w:noProof/>
          <w:sz w:val="20"/>
        </w:rPr>
        <w:t> </w:t>
      </w:r>
      <w:r w:rsidRPr="009D4576">
        <w:rPr>
          <w:rFonts w:cs="Arial"/>
          <w:noProof/>
          <w:sz w:val="20"/>
        </w:rPr>
        <w:t> </w:t>
      </w:r>
      <w:r w:rsidRPr="009D4576">
        <w:rPr>
          <w:rFonts w:cs="Arial"/>
          <w:sz w:val="20"/>
        </w:rPr>
        <w:fldChar w:fldCharType="end"/>
      </w:r>
    </w:p>
    <w:p w:rsidR="0046158C" w:rsidRPr="009D4576" w:rsidRDefault="0046158C" w:rsidP="008D3E53">
      <w:pPr>
        <w:tabs>
          <w:tab w:val="left" w:pos="5954"/>
        </w:tabs>
        <w:rPr>
          <w:rFonts w:cs="Arial"/>
          <w:sz w:val="20"/>
        </w:rPr>
      </w:pPr>
    </w:p>
    <w:p w:rsidR="0046158C" w:rsidRPr="009D4576" w:rsidRDefault="0046158C" w:rsidP="008D3E53">
      <w:pPr>
        <w:pBdr>
          <w:top w:val="single" w:sz="4" w:space="1" w:color="auto"/>
        </w:pBdr>
        <w:tabs>
          <w:tab w:val="left" w:pos="5954"/>
        </w:tabs>
        <w:rPr>
          <w:rFonts w:cs="Arial"/>
          <w:sz w:val="20"/>
        </w:rPr>
      </w:pPr>
    </w:p>
    <w:p w:rsidR="0029293E" w:rsidRPr="009D4576" w:rsidRDefault="00481C9E" w:rsidP="008D3E53">
      <w:pPr>
        <w:tabs>
          <w:tab w:val="left" w:pos="1680"/>
          <w:tab w:val="left" w:pos="2040"/>
        </w:tabs>
        <w:rPr>
          <w:rFonts w:cs="Arial"/>
          <w:snapToGrid w:val="0"/>
          <w:sz w:val="20"/>
        </w:rPr>
      </w:pPr>
      <w:r w:rsidRPr="009D4576">
        <w:rPr>
          <w:rFonts w:cs="Arial"/>
          <w:snapToGrid w:val="0"/>
          <w:sz w:val="20"/>
        </w:rPr>
        <w:t>Burgemeester en wethouders van Ooststellingwerf</w:t>
      </w:r>
      <w:r w:rsidR="0029293E" w:rsidRPr="009D4576">
        <w:rPr>
          <w:rFonts w:cs="Arial"/>
          <w:snapToGrid w:val="0"/>
          <w:sz w:val="20"/>
        </w:rPr>
        <w:t xml:space="preserve">, </w:t>
      </w:r>
    </w:p>
    <w:p w:rsidR="0029293E" w:rsidRPr="009D4576" w:rsidRDefault="0029293E" w:rsidP="008D3E53">
      <w:pPr>
        <w:tabs>
          <w:tab w:val="left" w:pos="1680"/>
          <w:tab w:val="left" w:pos="2040"/>
        </w:tabs>
        <w:rPr>
          <w:rFonts w:cs="Arial"/>
          <w:snapToGrid w:val="0"/>
          <w:sz w:val="20"/>
        </w:rPr>
      </w:pPr>
    </w:p>
    <w:p w:rsidR="0029293E" w:rsidRPr="009D4576" w:rsidRDefault="00FE4630" w:rsidP="008D3E53">
      <w:pPr>
        <w:tabs>
          <w:tab w:val="left" w:pos="2977"/>
          <w:tab w:val="left" w:pos="5103"/>
          <w:tab w:val="left" w:pos="8080"/>
        </w:tabs>
        <w:rPr>
          <w:rFonts w:cs="Arial"/>
          <w:sz w:val="20"/>
        </w:rPr>
      </w:pPr>
      <w:r w:rsidRPr="009D4576">
        <w:rPr>
          <w:rFonts w:cs="Arial"/>
          <w:sz w:val="20"/>
        </w:rPr>
        <w:fldChar w:fldCharType="begin">
          <w:ffData>
            <w:name w:val=""/>
            <w:enabled/>
            <w:calcOnExit w:val="0"/>
            <w:textInput/>
          </w:ffData>
        </w:fldChar>
      </w:r>
      <w:r w:rsidRPr="009D4576">
        <w:rPr>
          <w:rFonts w:cs="Arial"/>
          <w:sz w:val="20"/>
        </w:rPr>
        <w:instrText xml:space="preserve"> FORMTEXT </w:instrText>
      </w:r>
      <w:r w:rsidRPr="009D4576">
        <w:rPr>
          <w:rFonts w:cs="Arial"/>
          <w:sz w:val="20"/>
        </w:rPr>
      </w:r>
      <w:r w:rsidRPr="009D4576">
        <w:rPr>
          <w:rFonts w:cs="Arial"/>
          <w:sz w:val="20"/>
        </w:rPr>
        <w:fldChar w:fldCharType="separate"/>
      </w:r>
      <w:r w:rsidRPr="009D4576">
        <w:rPr>
          <w:rFonts w:cs="Arial"/>
          <w:noProof/>
          <w:sz w:val="20"/>
        </w:rPr>
        <w:t> </w:t>
      </w:r>
      <w:r w:rsidRPr="009D4576">
        <w:rPr>
          <w:rFonts w:cs="Arial"/>
          <w:noProof/>
          <w:sz w:val="20"/>
        </w:rPr>
        <w:t> </w:t>
      </w:r>
      <w:r w:rsidRPr="009D4576">
        <w:rPr>
          <w:rFonts w:cs="Arial"/>
          <w:noProof/>
          <w:sz w:val="20"/>
        </w:rPr>
        <w:t> </w:t>
      </w:r>
      <w:r w:rsidRPr="009D4576">
        <w:rPr>
          <w:rFonts w:cs="Arial"/>
          <w:noProof/>
          <w:sz w:val="20"/>
        </w:rPr>
        <w:t> </w:t>
      </w:r>
      <w:r w:rsidRPr="009D4576">
        <w:rPr>
          <w:rFonts w:cs="Arial"/>
          <w:noProof/>
          <w:sz w:val="20"/>
        </w:rPr>
        <w:t> </w:t>
      </w:r>
      <w:r w:rsidRPr="009D4576">
        <w:rPr>
          <w:rFonts w:cs="Arial"/>
          <w:sz w:val="20"/>
        </w:rPr>
        <w:fldChar w:fldCharType="end"/>
      </w:r>
      <w:r w:rsidRPr="009D4576">
        <w:rPr>
          <w:rFonts w:cs="Arial"/>
          <w:sz w:val="20"/>
        </w:rPr>
        <w:tab/>
      </w:r>
      <w:r w:rsidR="0029293E" w:rsidRPr="009D4576">
        <w:rPr>
          <w:rFonts w:cs="Arial"/>
          <w:snapToGrid w:val="0"/>
          <w:sz w:val="20"/>
        </w:rPr>
        <w:t xml:space="preserve">, </w:t>
      </w:r>
      <w:r w:rsidR="00481C9E" w:rsidRPr="009D4576">
        <w:rPr>
          <w:rFonts w:cs="Arial"/>
          <w:snapToGrid w:val="0"/>
          <w:sz w:val="20"/>
        </w:rPr>
        <w:t>secretaris</w:t>
      </w:r>
      <w:r w:rsidR="0029293E" w:rsidRPr="009D4576">
        <w:rPr>
          <w:rFonts w:cs="Arial"/>
          <w:snapToGrid w:val="0"/>
          <w:sz w:val="20"/>
        </w:rPr>
        <w:tab/>
      </w:r>
      <w:r w:rsidRPr="009D4576">
        <w:rPr>
          <w:rFonts w:cs="Arial"/>
          <w:sz w:val="20"/>
        </w:rPr>
        <w:fldChar w:fldCharType="begin">
          <w:ffData>
            <w:name w:val=""/>
            <w:enabled/>
            <w:calcOnExit w:val="0"/>
            <w:textInput/>
          </w:ffData>
        </w:fldChar>
      </w:r>
      <w:r w:rsidRPr="009D4576">
        <w:rPr>
          <w:rFonts w:cs="Arial"/>
          <w:sz w:val="20"/>
        </w:rPr>
        <w:instrText xml:space="preserve"> FORMTEXT </w:instrText>
      </w:r>
      <w:r w:rsidRPr="009D4576">
        <w:rPr>
          <w:rFonts w:cs="Arial"/>
          <w:sz w:val="20"/>
        </w:rPr>
      </w:r>
      <w:r w:rsidRPr="009D4576">
        <w:rPr>
          <w:rFonts w:cs="Arial"/>
          <w:sz w:val="20"/>
        </w:rPr>
        <w:fldChar w:fldCharType="separate"/>
      </w:r>
      <w:r w:rsidRPr="009D4576">
        <w:rPr>
          <w:rFonts w:cs="Arial"/>
          <w:noProof/>
          <w:sz w:val="20"/>
        </w:rPr>
        <w:t> </w:t>
      </w:r>
      <w:r w:rsidRPr="009D4576">
        <w:rPr>
          <w:rFonts w:cs="Arial"/>
          <w:noProof/>
          <w:sz w:val="20"/>
        </w:rPr>
        <w:t> </w:t>
      </w:r>
      <w:r w:rsidRPr="009D4576">
        <w:rPr>
          <w:rFonts w:cs="Arial"/>
          <w:noProof/>
          <w:sz w:val="20"/>
        </w:rPr>
        <w:t> </w:t>
      </w:r>
      <w:r w:rsidRPr="009D4576">
        <w:rPr>
          <w:rFonts w:cs="Arial"/>
          <w:noProof/>
          <w:sz w:val="20"/>
        </w:rPr>
        <w:t> </w:t>
      </w:r>
      <w:r w:rsidRPr="009D4576">
        <w:rPr>
          <w:rFonts w:cs="Arial"/>
          <w:noProof/>
          <w:sz w:val="20"/>
        </w:rPr>
        <w:t> </w:t>
      </w:r>
      <w:r w:rsidRPr="009D4576">
        <w:rPr>
          <w:rFonts w:cs="Arial"/>
          <w:sz w:val="20"/>
        </w:rPr>
        <w:fldChar w:fldCharType="end"/>
      </w:r>
      <w:r w:rsidR="0029293E" w:rsidRPr="009D4576">
        <w:rPr>
          <w:rFonts w:cs="Arial"/>
          <w:snapToGrid w:val="0"/>
          <w:sz w:val="20"/>
        </w:rPr>
        <w:t xml:space="preserve">, </w:t>
      </w:r>
      <w:r w:rsidR="00481C9E" w:rsidRPr="009D4576">
        <w:rPr>
          <w:rFonts w:cs="Arial"/>
          <w:snapToGrid w:val="0"/>
          <w:sz w:val="20"/>
        </w:rPr>
        <w:t>burgemeester</w:t>
      </w:r>
      <w:r w:rsidR="0029293E" w:rsidRPr="009D4576">
        <w:rPr>
          <w:rFonts w:cs="Arial"/>
          <w:snapToGrid w:val="0"/>
          <w:sz w:val="20"/>
        </w:rPr>
        <w:t>.</w:t>
      </w:r>
    </w:p>
    <w:p w:rsidR="0029293E" w:rsidRPr="009D4576" w:rsidRDefault="0029293E" w:rsidP="008D3E53">
      <w:pPr>
        <w:tabs>
          <w:tab w:val="left" w:pos="5954"/>
        </w:tabs>
        <w:rPr>
          <w:rFonts w:cs="Arial"/>
          <w:sz w:val="20"/>
        </w:rPr>
      </w:pPr>
    </w:p>
    <w:p w:rsidR="0029293E" w:rsidRPr="009D4576" w:rsidRDefault="0029293E" w:rsidP="008D3E53">
      <w:pPr>
        <w:tabs>
          <w:tab w:val="left" w:pos="5954"/>
        </w:tabs>
        <w:rPr>
          <w:rFonts w:cs="Arial"/>
          <w:sz w:val="20"/>
        </w:rPr>
      </w:pPr>
    </w:p>
    <w:p w:rsidR="0029293E" w:rsidRPr="009D4576" w:rsidRDefault="0029293E" w:rsidP="008D3E53">
      <w:pPr>
        <w:tabs>
          <w:tab w:val="left" w:pos="5954"/>
        </w:tabs>
        <w:rPr>
          <w:rFonts w:cs="Arial"/>
          <w:sz w:val="20"/>
        </w:rPr>
      </w:pPr>
    </w:p>
    <w:p w:rsidR="0029293E" w:rsidRPr="009D4576" w:rsidRDefault="0029293E" w:rsidP="008D3E53">
      <w:pPr>
        <w:tabs>
          <w:tab w:val="left" w:pos="426"/>
          <w:tab w:val="left" w:pos="5954"/>
        </w:tabs>
        <w:rPr>
          <w:rFonts w:cs="Arial"/>
          <w:b/>
          <w:sz w:val="20"/>
        </w:rPr>
      </w:pPr>
      <w:r w:rsidRPr="009D4576">
        <w:rPr>
          <w:rFonts w:cs="Arial"/>
          <w:b/>
          <w:sz w:val="20"/>
        </w:rPr>
        <w:t>A.</w:t>
      </w:r>
      <w:r w:rsidRPr="009D4576">
        <w:rPr>
          <w:rFonts w:cs="Arial"/>
          <w:b/>
          <w:sz w:val="20"/>
        </w:rPr>
        <w:tab/>
        <w:t>Ter inzage liggende stukken</w:t>
      </w:r>
    </w:p>
    <w:p w:rsidR="00481C9E" w:rsidRPr="009D4576" w:rsidRDefault="0029293E" w:rsidP="008D3E53">
      <w:pPr>
        <w:tabs>
          <w:tab w:val="left" w:pos="426"/>
          <w:tab w:val="left" w:pos="5954"/>
        </w:tabs>
        <w:rPr>
          <w:rFonts w:cs="Arial"/>
          <w:sz w:val="20"/>
        </w:rPr>
      </w:pPr>
      <w:r w:rsidRPr="009D4576">
        <w:rPr>
          <w:rFonts w:cs="Arial"/>
          <w:sz w:val="20"/>
        </w:rPr>
        <w:t>a.</w:t>
      </w:r>
      <w:r w:rsidRPr="009D4576">
        <w:rPr>
          <w:rFonts w:cs="Arial"/>
          <w:sz w:val="20"/>
        </w:rPr>
        <w:tab/>
      </w:r>
      <w:r w:rsidR="008E5E2B" w:rsidRPr="008E5E2B">
        <w:rPr>
          <w:rFonts w:cs="Arial"/>
          <w:sz w:val="20"/>
        </w:rPr>
        <w:t>Programmabegroting 201</w:t>
      </w:r>
      <w:r w:rsidR="008E5E2B">
        <w:rPr>
          <w:rFonts w:cs="Arial"/>
          <w:sz w:val="20"/>
        </w:rPr>
        <w:t>8</w:t>
      </w:r>
      <w:r w:rsidR="008E5E2B" w:rsidRPr="008E5E2B">
        <w:rPr>
          <w:rFonts w:cs="Arial"/>
          <w:sz w:val="20"/>
        </w:rPr>
        <w:t>-202</w:t>
      </w:r>
      <w:r w:rsidR="008E5E2B">
        <w:rPr>
          <w:rFonts w:cs="Arial"/>
          <w:sz w:val="20"/>
        </w:rPr>
        <w:t>1</w:t>
      </w:r>
    </w:p>
    <w:p w:rsidR="0029293E" w:rsidRPr="009D4576" w:rsidRDefault="0029293E" w:rsidP="008D3E53">
      <w:pPr>
        <w:tabs>
          <w:tab w:val="left" w:pos="426"/>
          <w:tab w:val="left" w:pos="5954"/>
        </w:tabs>
        <w:rPr>
          <w:rFonts w:cs="Arial"/>
          <w:sz w:val="20"/>
        </w:rPr>
      </w:pPr>
    </w:p>
    <w:p w:rsidR="0029293E" w:rsidRPr="009D4576" w:rsidRDefault="0029293E" w:rsidP="008D3E53">
      <w:pPr>
        <w:tabs>
          <w:tab w:val="left" w:pos="426"/>
          <w:tab w:val="left" w:pos="5954"/>
        </w:tabs>
        <w:rPr>
          <w:rFonts w:cs="Arial"/>
          <w:b/>
          <w:sz w:val="20"/>
        </w:rPr>
      </w:pPr>
      <w:r w:rsidRPr="009D4576">
        <w:rPr>
          <w:rFonts w:cs="Arial"/>
          <w:b/>
          <w:sz w:val="20"/>
        </w:rPr>
        <w:t>B.</w:t>
      </w:r>
      <w:r w:rsidRPr="009D4576">
        <w:rPr>
          <w:rFonts w:cs="Arial"/>
          <w:b/>
          <w:sz w:val="20"/>
        </w:rPr>
        <w:tab/>
        <w:t>Vertrouwelijke stukken</w:t>
      </w:r>
    </w:p>
    <w:p w:rsidR="00EB1C70" w:rsidRPr="009D4576" w:rsidRDefault="0029293E" w:rsidP="008C4990">
      <w:pPr>
        <w:tabs>
          <w:tab w:val="left" w:pos="426"/>
          <w:tab w:val="left" w:pos="5954"/>
        </w:tabs>
        <w:rPr>
          <w:rFonts w:cs="Arial"/>
          <w:sz w:val="20"/>
        </w:rPr>
      </w:pPr>
      <w:r w:rsidRPr="009D4576">
        <w:rPr>
          <w:rFonts w:cs="Arial"/>
          <w:sz w:val="20"/>
        </w:rPr>
        <w:t>a.</w:t>
      </w:r>
      <w:r w:rsidR="00481C9E" w:rsidRPr="009D4576">
        <w:rPr>
          <w:rFonts w:cs="Arial"/>
          <w:sz w:val="20"/>
        </w:rPr>
        <w:t xml:space="preserve"> </w:t>
      </w:r>
      <w:r w:rsidR="00481C9E" w:rsidRPr="009D4576">
        <w:rPr>
          <w:rFonts w:cs="Arial"/>
          <w:sz w:val="20"/>
        </w:rPr>
        <w:tab/>
      </w:r>
      <w:r w:rsidR="008E5E2B">
        <w:rPr>
          <w:rFonts w:cs="Arial"/>
          <w:sz w:val="20"/>
        </w:rPr>
        <w:t>geen</w:t>
      </w:r>
    </w:p>
    <w:p w:rsidR="009D4576" w:rsidRPr="009D4576" w:rsidRDefault="009D4576">
      <w:pPr>
        <w:tabs>
          <w:tab w:val="left" w:pos="426"/>
          <w:tab w:val="left" w:pos="5954"/>
        </w:tabs>
        <w:rPr>
          <w:rFonts w:cs="Arial"/>
          <w:sz w:val="20"/>
        </w:rPr>
      </w:pPr>
    </w:p>
    <w:sectPr w:rsidR="009D4576" w:rsidRPr="009D4576" w:rsidSect="00AB0B52">
      <w:headerReference w:type="first" r:id="rId9"/>
      <w:pgSz w:w="11907" w:h="16840" w:code="9"/>
      <w:pgMar w:top="2552" w:right="1134" w:bottom="851" w:left="1134" w:header="0" w:footer="737" w:gutter="0"/>
      <w:paperSrc w:first="261" w:other="261"/>
      <w:pgNumType w:fmt="numberInDash"/>
      <w:cols w:space="708"/>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FB4" w:rsidRDefault="00402FB4">
      <w:r>
        <w:separator/>
      </w:r>
    </w:p>
  </w:endnote>
  <w:endnote w:type="continuationSeparator" w:id="0">
    <w:p w:rsidR="00402FB4" w:rsidRDefault="0040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FB4" w:rsidRDefault="00402FB4">
      <w:r>
        <w:separator/>
      </w:r>
    </w:p>
  </w:footnote>
  <w:footnote w:type="continuationSeparator" w:id="0">
    <w:p w:rsidR="00402FB4" w:rsidRDefault="00402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C5" w:rsidRPr="00B03C76" w:rsidRDefault="009F6BCA" w:rsidP="007B3E87">
    <w:pPr>
      <w:pStyle w:val="Koptekst"/>
      <w:jc w:val="right"/>
    </w:pPr>
    <w:r>
      <w:rPr>
        <w:noProof/>
      </w:rPr>
      <w:drawing>
        <wp:anchor distT="0" distB="0" distL="114300" distR="114300" simplePos="0" relativeHeight="251659264" behindDoc="1" locked="0" layoutInCell="1" allowOverlap="1" wp14:anchorId="5F19B933" wp14:editId="55423CD5">
          <wp:simplePos x="0" y="0"/>
          <wp:positionH relativeFrom="column">
            <wp:posOffset>3902710</wp:posOffset>
          </wp:positionH>
          <wp:positionV relativeFrom="paragraph">
            <wp:posOffset>205105</wp:posOffset>
          </wp:positionV>
          <wp:extent cx="3081600" cy="1260000"/>
          <wp:effectExtent l="0" t="0" r="0" b="1016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ieuw zwartwit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81600" cy="12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13A2995C">
      <w:start w:val="1"/>
      <w:numFmt w:val="bullet"/>
      <w:lvlText w:val=""/>
      <w:lvlJc w:val="left"/>
      <w:pPr>
        <w:ind w:left="720" w:hanging="360"/>
      </w:pPr>
      <w:rPr>
        <w:rFonts w:ascii="Symbol" w:hAnsi="Symbol"/>
      </w:rPr>
    </w:lvl>
    <w:lvl w:ilvl="1" w:tplc="E09C7CD0">
      <w:start w:val="1"/>
      <w:numFmt w:val="bullet"/>
      <w:lvlText w:val="o"/>
      <w:lvlJc w:val="left"/>
      <w:pPr>
        <w:tabs>
          <w:tab w:val="num" w:pos="1440"/>
        </w:tabs>
        <w:ind w:left="1440" w:hanging="360"/>
      </w:pPr>
      <w:rPr>
        <w:rFonts w:ascii="Courier New" w:hAnsi="Courier New"/>
      </w:rPr>
    </w:lvl>
    <w:lvl w:ilvl="2" w:tplc="94564442">
      <w:start w:val="1"/>
      <w:numFmt w:val="bullet"/>
      <w:lvlText w:val=""/>
      <w:lvlJc w:val="left"/>
      <w:pPr>
        <w:tabs>
          <w:tab w:val="num" w:pos="2160"/>
        </w:tabs>
        <w:ind w:left="2160" w:hanging="360"/>
      </w:pPr>
      <w:rPr>
        <w:rFonts w:ascii="Wingdings" w:hAnsi="Wingdings"/>
      </w:rPr>
    </w:lvl>
    <w:lvl w:ilvl="3" w:tplc="FDB4958C">
      <w:start w:val="1"/>
      <w:numFmt w:val="bullet"/>
      <w:lvlText w:val=""/>
      <w:lvlJc w:val="left"/>
      <w:pPr>
        <w:tabs>
          <w:tab w:val="num" w:pos="2880"/>
        </w:tabs>
        <w:ind w:left="2880" w:hanging="360"/>
      </w:pPr>
      <w:rPr>
        <w:rFonts w:ascii="Symbol" w:hAnsi="Symbol"/>
      </w:rPr>
    </w:lvl>
    <w:lvl w:ilvl="4" w:tplc="95A20DD6">
      <w:start w:val="1"/>
      <w:numFmt w:val="bullet"/>
      <w:lvlText w:val="o"/>
      <w:lvlJc w:val="left"/>
      <w:pPr>
        <w:tabs>
          <w:tab w:val="num" w:pos="3600"/>
        </w:tabs>
        <w:ind w:left="3600" w:hanging="360"/>
      </w:pPr>
      <w:rPr>
        <w:rFonts w:ascii="Courier New" w:hAnsi="Courier New"/>
      </w:rPr>
    </w:lvl>
    <w:lvl w:ilvl="5" w:tplc="4F70FDCC">
      <w:start w:val="1"/>
      <w:numFmt w:val="bullet"/>
      <w:lvlText w:val=""/>
      <w:lvlJc w:val="left"/>
      <w:pPr>
        <w:tabs>
          <w:tab w:val="num" w:pos="4320"/>
        </w:tabs>
        <w:ind w:left="4320" w:hanging="360"/>
      </w:pPr>
      <w:rPr>
        <w:rFonts w:ascii="Wingdings" w:hAnsi="Wingdings"/>
      </w:rPr>
    </w:lvl>
    <w:lvl w:ilvl="6" w:tplc="2F089E74">
      <w:start w:val="1"/>
      <w:numFmt w:val="bullet"/>
      <w:lvlText w:val=""/>
      <w:lvlJc w:val="left"/>
      <w:pPr>
        <w:tabs>
          <w:tab w:val="num" w:pos="5040"/>
        </w:tabs>
        <w:ind w:left="5040" w:hanging="360"/>
      </w:pPr>
      <w:rPr>
        <w:rFonts w:ascii="Symbol" w:hAnsi="Symbol"/>
      </w:rPr>
    </w:lvl>
    <w:lvl w:ilvl="7" w:tplc="32B00E44">
      <w:start w:val="1"/>
      <w:numFmt w:val="bullet"/>
      <w:lvlText w:val="o"/>
      <w:lvlJc w:val="left"/>
      <w:pPr>
        <w:tabs>
          <w:tab w:val="num" w:pos="5760"/>
        </w:tabs>
        <w:ind w:left="5760" w:hanging="360"/>
      </w:pPr>
      <w:rPr>
        <w:rFonts w:ascii="Courier New" w:hAnsi="Courier New"/>
      </w:rPr>
    </w:lvl>
    <w:lvl w:ilvl="8" w:tplc="994EBB26">
      <w:start w:val="1"/>
      <w:numFmt w:val="bullet"/>
      <w:lvlText w:val=""/>
      <w:lvlJc w:val="left"/>
      <w:pPr>
        <w:tabs>
          <w:tab w:val="num" w:pos="6480"/>
        </w:tabs>
        <w:ind w:left="6480" w:hanging="360"/>
      </w:pPr>
      <w:rPr>
        <w:rFonts w:ascii="Wingdings" w:hAnsi="Wingdings"/>
      </w:rPr>
    </w:lvl>
  </w:abstractNum>
  <w:abstractNum w:abstractNumId="1">
    <w:nsid w:val="1A9C1109"/>
    <w:multiLevelType w:val="multilevel"/>
    <w:tmpl w:val="2D8E04D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077"/>
        </w:tabs>
        <w:ind w:left="1077" w:firstLine="3"/>
      </w:pPr>
      <w:rPr>
        <w:rFonts w:hint="default"/>
      </w:rPr>
    </w:lvl>
    <w:lvl w:ilvl="2">
      <w:start w:val="1"/>
      <w:numFmt w:val="lowerRoman"/>
      <w:lvlText w:val="%3."/>
      <w:lvlJc w:val="left"/>
      <w:pPr>
        <w:tabs>
          <w:tab w:val="num" w:pos="2263"/>
        </w:tabs>
        <w:ind w:left="2263" w:hanging="283"/>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23D3A18"/>
    <w:multiLevelType w:val="hybridMultilevel"/>
    <w:tmpl w:val="D1FC348A"/>
    <w:lvl w:ilvl="0" w:tplc="BA1E9752">
      <w:start w:val="1"/>
      <w:numFmt w:val="decimal"/>
      <w:pStyle w:val="Opsomming1"/>
      <w:lvlText w:val="%1."/>
      <w:lvlJc w:val="left"/>
      <w:pPr>
        <w:tabs>
          <w:tab w:val="num" w:pos="284"/>
        </w:tabs>
        <w:ind w:left="284" w:hanging="284"/>
      </w:pPr>
      <w:rPr>
        <w:rFonts w:hint="default"/>
      </w:rPr>
    </w:lvl>
    <w:lvl w:ilvl="1" w:tplc="CE566C9E">
      <w:start w:val="1"/>
      <w:numFmt w:val="lowerLetter"/>
      <w:pStyle w:val="Opsomminga"/>
      <w:lvlText w:val="%2."/>
      <w:lvlJc w:val="left"/>
      <w:pPr>
        <w:tabs>
          <w:tab w:val="num" w:pos="1077"/>
        </w:tabs>
        <w:ind w:left="1077" w:firstLine="3"/>
      </w:pPr>
      <w:rPr>
        <w:rFonts w:hint="default"/>
      </w:rPr>
    </w:lvl>
    <w:lvl w:ilvl="2" w:tplc="E00261C4">
      <w:start w:val="1"/>
      <w:numFmt w:val="upperRoman"/>
      <w:pStyle w:val="OpsommingI"/>
      <w:lvlText w:val="%3."/>
      <w:lvlJc w:val="left"/>
      <w:pPr>
        <w:tabs>
          <w:tab w:val="num" w:pos="2264"/>
        </w:tabs>
        <w:ind w:left="2264" w:hanging="284"/>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5D1E174F"/>
    <w:multiLevelType w:val="hybridMultilevel"/>
    <w:tmpl w:val="A0A8C0FE"/>
    <w:lvl w:ilvl="0" w:tplc="5FC0BBF0">
      <w:start w:val="1"/>
      <w:numFmt w:val="decimal"/>
      <w:lvlText w:val="%1."/>
      <w:lvlJc w:val="left"/>
      <w:pPr>
        <w:tabs>
          <w:tab w:val="num" w:pos="284"/>
        </w:tabs>
        <w:ind w:left="284" w:hanging="284"/>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6AE10ACD"/>
    <w:multiLevelType w:val="hybridMultilevel"/>
    <w:tmpl w:val="C7FCCB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FB4"/>
    <w:rsid w:val="00033696"/>
    <w:rsid w:val="000F5E58"/>
    <w:rsid w:val="00133B5A"/>
    <w:rsid w:val="0013603F"/>
    <w:rsid w:val="001527B3"/>
    <w:rsid w:val="00183BB4"/>
    <w:rsid w:val="00186649"/>
    <w:rsid w:val="001C1251"/>
    <w:rsid w:val="001D7DC6"/>
    <w:rsid w:val="00207200"/>
    <w:rsid w:val="002233DA"/>
    <w:rsid w:val="002333F2"/>
    <w:rsid w:val="00251DDD"/>
    <w:rsid w:val="00252713"/>
    <w:rsid w:val="00261863"/>
    <w:rsid w:val="0029293E"/>
    <w:rsid w:val="002C4105"/>
    <w:rsid w:val="00331EA1"/>
    <w:rsid w:val="00385EB7"/>
    <w:rsid w:val="00395AFD"/>
    <w:rsid w:val="003A64C4"/>
    <w:rsid w:val="003C1B48"/>
    <w:rsid w:val="003D1BDD"/>
    <w:rsid w:val="00402FB4"/>
    <w:rsid w:val="00410249"/>
    <w:rsid w:val="00432B29"/>
    <w:rsid w:val="00434ECD"/>
    <w:rsid w:val="00437C0C"/>
    <w:rsid w:val="0046158C"/>
    <w:rsid w:val="00481C9E"/>
    <w:rsid w:val="0052665C"/>
    <w:rsid w:val="00575F17"/>
    <w:rsid w:val="005F18F0"/>
    <w:rsid w:val="00623520"/>
    <w:rsid w:val="006363F9"/>
    <w:rsid w:val="0068316E"/>
    <w:rsid w:val="006C5956"/>
    <w:rsid w:val="006E63A8"/>
    <w:rsid w:val="00775147"/>
    <w:rsid w:val="00792832"/>
    <w:rsid w:val="007B3E87"/>
    <w:rsid w:val="007D312F"/>
    <w:rsid w:val="007E2021"/>
    <w:rsid w:val="007F1CC1"/>
    <w:rsid w:val="007F7F4A"/>
    <w:rsid w:val="00801A24"/>
    <w:rsid w:val="00854532"/>
    <w:rsid w:val="00857CCA"/>
    <w:rsid w:val="008C4990"/>
    <w:rsid w:val="008D3E53"/>
    <w:rsid w:val="008D7883"/>
    <w:rsid w:val="008E5E2B"/>
    <w:rsid w:val="0090609E"/>
    <w:rsid w:val="009937E0"/>
    <w:rsid w:val="009D2280"/>
    <w:rsid w:val="009D4576"/>
    <w:rsid w:val="009F1975"/>
    <w:rsid w:val="009F2413"/>
    <w:rsid w:val="009F6BCA"/>
    <w:rsid w:val="00A31047"/>
    <w:rsid w:val="00A317D9"/>
    <w:rsid w:val="00A70207"/>
    <w:rsid w:val="00AB0B52"/>
    <w:rsid w:val="00B03C76"/>
    <w:rsid w:val="00B35CA4"/>
    <w:rsid w:val="00B807DA"/>
    <w:rsid w:val="00B834B9"/>
    <w:rsid w:val="00C024FD"/>
    <w:rsid w:val="00C077CF"/>
    <w:rsid w:val="00C43DF9"/>
    <w:rsid w:val="00C673A9"/>
    <w:rsid w:val="00C67688"/>
    <w:rsid w:val="00CA6415"/>
    <w:rsid w:val="00CA70A3"/>
    <w:rsid w:val="00CC7AFC"/>
    <w:rsid w:val="00D011C5"/>
    <w:rsid w:val="00D30476"/>
    <w:rsid w:val="00D40D39"/>
    <w:rsid w:val="00DB0D1B"/>
    <w:rsid w:val="00DD70C6"/>
    <w:rsid w:val="00E47466"/>
    <w:rsid w:val="00EA76F4"/>
    <w:rsid w:val="00EB1C70"/>
    <w:rsid w:val="00EC0760"/>
    <w:rsid w:val="00EF152D"/>
    <w:rsid w:val="00F53D89"/>
    <w:rsid w:val="00FE4630"/>
    <w:rsid w:val="00FF0AA2"/>
    <w:rsid w:val="00FF3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95AFD"/>
    <w:pPr>
      <w:spacing w:line="276" w:lineRule="auto"/>
    </w:pPr>
    <w:rPr>
      <w:rFonts w:ascii="Arial" w:hAnsi="Arial"/>
      <w:sz w:val="22"/>
    </w:rPr>
  </w:style>
  <w:style w:type="paragraph" w:styleId="Kop1">
    <w:name w:val="heading 1"/>
    <w:basedOn w:val="Standaard"/>
    <w:next w:val="Standaard"/>
    <w:qFormat/>
    <w:rsid w:val="002233DA"/>
    <w:pPr>
      <w:keepNext/>
      <w:tabs>
        <w:tab w:val="left" w:pos="426"/>
        <w:tab w:val="left" w:pos="5954"/>
      </w:tabs>
      <w:outlineLvl w:val="0"/>
    </w:pPr>
    <w:rPr>
      <w:b/>
      <w:color w:val="FF0000"/>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1">
    <w:name w:val="Opsomming 1"/>
    <w:aliases w:val="2,3"/>
    <w:basedOn w:val="Standaard"/>
    <w:pPr>
      <w:numPr>
        <w:numId w:val="2"/>
      </w:numPr>
      <w:tabs>
        <w:tab w:val="clear" w:pos="284"/>
        <w:tab w:val="num" w:pos="360"/>
      </w:tabs>
      <w:ind w:left="360" w:hanging="360"/>
    </w:pPr>
  </w:style>
  <w:style w:type="paragraph" w:customStyle="1" w:styleId="Opsomminga">
    <w:name w:val="Opsomming a"/>
    <w:aliases w:val="b,c"/>
    <w:basedOn w:val="Standaard"/>
    <w:pPr>
      <w:numPr>
        <w:ilvl w:val="1"/>
        <w:numId w:val="2"/>
      </w:numPr>
      <w:tabs>
        <w:tab w:val="clear" w:pos="1077"/>
        <w:tab w:val="left" w:pos="720"/>
      </w:tabs>
      <w:ind w:left="720" w:hanging="360"/>
    </w:pPr>
  </w:style>
  <w:style w:type="paragraph" w:customStyle="1" w:styleId="OpsommingI">
    <w:name w:val="Opsomming I"/>
    <w:aliases w:val="II,III"/>
    <w:basedOn w:val="Standaard"/>
    <w:pPr>
      <w:numPr>
        <w:ilvl w:val="2"/>
        <w:numId w:val="2"/>
      </w:numPr>
      <w:tabs>
        <w:tab w:val="clear" w:pos="2264"/>
        <w:tab w:val="left" w:pos="1080"/>
      </w:tabs>
      <w:ind w:left="1080" w:hanging="360"/>
    </w:pPr>
  </w:style>
  <w:style w:type="paragraph" w:styleId="Koptekst">
    <w:name w:val="header"/>
    <w:basedOn w:val="Standaard"/>
    <w:pPr>
      <w:tabs>
        <w:tab w:val="center" w:pos="4536"/>
        <w:tab w:val="right" w:pos="9072"/>
      </w:tabs>
    </w:pPr>
  </w:style>
  <w:style w:type="character" w:styleId="Paginanummer">
    <w:name w:val="page number"/>
    <w:basedOn w:val="Standaardalinea-lettertype"/>
    <w:rsid w:val="002233DA"/>
    <w:rPr>
      <w:rFonts w:ascii="Arial" w:hAnsi="Arial"/>
      <w:b w:val="0"/>
      <w:bCs w:val="0"/>
      <w:i w:val="0"/>
      <w:iCs w:val="0"/>
      <w:sz w:val="22"/>
    </w:rPr>
  </w:style>
  <w:style w:type="paragraph" w:styleId="Voettekst">
    <w:name w:val="footer"/>
    <w:basedOn w:val="Standaard"/>
    <w:link w:val="VoettekstChar"/>
    <w:unhideWhenUsed/>
    <w:rsid w:val="002233DA"/>
    <w:pPr>
      <w:tabs>
        <w:tab w:val="center" w:pos="4536"/>
        <w:tab w:val="right" w:pos="9072"/>
      </w:tabs>
    </w:pPr>
  </w:style>
  <w:style w:type="character" w:customStyle="1" w:styleId="VoettekstChar">
    <w:name w:val="Voettekst Char"/>
    <w:basedOn w:val="Standaardalinea-lettertype"/>
    <w:link w:val="Voettekst"/>
    <w:rsid w:val="002233DA"/>
    <w:rPr>
      <w:rFonts w:ascii="Arial" w:hAnsi="Arial"/>
      <w:sz w:val="22"/>
    </w:rPr>
  </w:style>
  <w:style w:type="paragraph" w:styleId="Lijstalinea">
    <w:name w:val="List Paragraph"/>
    <w:basedOn w:val="Standaard"/>
    <w:uiPriority w:val="34"/>
    <w:qFormat/>
    <w:rsid w:val="00481C9E"/>
    <w:pPr>
      <w:ind w:left="720"/>
      <w:contextualSpacing/>
    </w:pPr>
  </w:style>
  <w:style w:type="paragraph" w:customStyle="1" w:styleId="Tussenkop1">
    <w:name w:val="Tussenkop 1"/>
    <w:basedOn w:val="Kop1"/>
    <w:qFormat/>
    <w:rsid w:val="002233DA"/>
    <w:rPr>
      <w:sz w:val="22"/>
    </w:rPr>
  </w:style>
  <w:style w:type="paragraph" w:customStyle="1" w:styleId="Accenttekst">
    <w:name w:val="Accenttekst"/>
    <w:basedOn w:val="Kop1"/>
    <w:qFormat/>
    <w:rsid w:val="002233DA"/>
    <w:rPr>
      <w:color w:val="000000" w:themeColor="text1"/>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95AFD"/>
    <w:pPr>
      <w:spacing w:line="276" w:lineRule="auto"/>
    </w:pPr>
    <w:rPr>
      <w:rFonts w:ascii="Arial" w:hAnsi="Arial"/>
      <w:sz w:val="22"/>
    </w:rPr>
  </w:style>
  <w:style w:type="paragraph" w:styleId="Kop1">
    <w:name w:val="heading 1"/>
    <w:basedOn w:val="Standaard"/>
    <w:next w:val="Standaard"/>
    <w:qFormat/>
    <w:rsid w:val="002233DA"/>
    <w:pPr>
      <w:keepNext/>
      <w:tabs>
        <w:tab w:val="left" w:pos="426"/>
        <w:tab w:val="left" w:pos="5954"/>
      </w:tabs>
      <w:outlineLvl w:val="0"/>
    </w:pPr>
    <w:rPr>
      <w:b/>
      <w:color w:val="FF0000"/>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1">
    <w:name w:val="Opsomming 1"/>
    <w:aliases w:val="2,3"/>
    <w:basedOn w:val="Standaard"/>
    <w:pPr>
      <w:numPr>
        <w:numId w:val="2"/>
      </w:numPr>
      <w:tabs>
        <w:tab w:val="clear" w:pos="284"/>
        <w:tab w:val="num" w:pos="360"/>
      </w:tabs>
      <w:ind w:left="360" w:hanging="360"/>
    </w:pPr>
  </w:style>
  <w:style w:type="paragraph" w:customStyle="1" w:styleId="Opsomminga">
    <w:name w:val="Opsomming a"/>
    <w:aliases w:val="b,c"/>
    <w:basedOn w:val="Standaard"/>
    <w:pPr>
      <w:numPr>
        <w:ilvl w:val="1"/>
        <w:numId w:val="2"/>
      </w:numPr>
      <w:tabs>
        <w:tab w:val="clear" w:pos="1077"/>
        <w:tab w:val="left" w:pos="720"/>
      </w:tabs>
      <w:ind w:left="720" w:hanging="360"/>
    </w:pPr>
  </w:style>
  <w:style w:type="paragraph" w:customStyle="1" w:styleId="OpsommingI">
    <w:name w:val="Opsomming I"/>
    <w:aliases w:val="II,III"/>
    <w:basedOn w:val="Standaard"/>
    <w:pPr>
      <w:numPr>
        <w:ilvl w:val="2"/>
        <w:numId w:val="2"/>
      </w:numPr>
      <w:tabs>
        <w:tab w:val="clear" w:pos="2264"/>
        <w:tab w:val="left" w:pos="1080"/>
      </w:tabs>
      <w:ind w:left="1080" w:hanging="360"/>
    </w:pPr>
  </w:style>
  <w:style w:type="paragraph" w:styleId="Koptekst">
    <w:name w:val="header"/>
    <w:basedOn w:val="Standaard"/>
    <w:pPr>
      <w:tabs>
        <w:tab w:val="center" w:pos="4536"/>
        <w:tab w:val="right" w:pos="9072"/>
      </w:tabs>
    </w:pPr>
  </w:style>
  <w:style w:type="character" w:styleId="Paginanummer">
    <w:name w:val="page number"/>
    <w:basedOn w:val="Standaardalinea-lettertype"/>
    <w:rsid w:val="002233DA"/>
    <w:rPr>
      <w:rFonts w:ascii="Arial" w:hAnsi="Arial"/>
      <w:b w:val="0"/>
      <w:bCs w:val="0"/>
      <w:i w:val="0"/>
      <w:iCs w:val="0"/>
      <w:sz w:val="22"/>
    </w:rPr>
  </w:style>
  <w:style w:type="paragraph" w:styleId="Voettekst">
    <w:name w:val="footer"/>
    <w:basedOn w:val="Standaard"/>
    <w:link w:val="VoettekstChar"/>
    <w:unhideWhenUsed/>
    <w:rsid w:val="002233DA"/>
    <w:pPr>
      <w:tabs>
        <w:tab w:val="center" w:pos="4536"/>
        <w:tab w:val="right" w:pos="9072"/>
      </w:tabs>
    </w:pPr>
  </w:style>
  <w:style w:type="character" w:customStyle="1" w:styleId="VoettekstChar">
    <w:name w:val="Voettekst Char"/>
    <w:basedOn w:val="Standaardalinea-lettertype"/>
    <w:link w:val="Voettekst"/>
    <w:rsid w:val="002233DA"/>
    <w:rPr>
      <w:rFonts w:ascii="Arial" w:hAnsi="Arial"/>
      <w:sz w:val="22"/>
    </w:rPr>
  </w:style>
  <w:style w:type="paragraph" w:styleId="Lijstalinea">
    <w:name w:val="List Paragraph"/>
    <w:basedOn w:val="Standaard"/>
    <w:uiPriority w:val="34"/>
    <w:qFormat/>
    <w:rsid w:val="00481C9E"/>
    <w:pPr>
      <w:ind w:left="720"/>
      <w:contextualSpacing/>
    </w:pPr>
  </w:style>
  <w:style w:type="paragraph" w:customStyle="1" w:styleId="Tussenkop1">
    <w:name w:val="Tussenkop 1"/>
    <w:basedOn w:val="Kop1"/>
    <w:qFormat/>
    <w:rsid w:val="002233DA"/>
    <w:rPr>
      <w:sz w:val="22"/>
    </w:rPr>
  </w:style>
  <w:style w:type="paragraph" w:customStyle="1" w:styleId="Accenttekst">
    <w:name w:val="Accenttekst"/>
    <w:basedOn w:val="Kop1"/>
    <w:qFormat/>
    <w:rsid w:val="002233DA"/>
    <w:rPr>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N:\Sjablonen\Ooststellingwerf\Adviesformulier%20raad%20.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438D1-6969-4FE9-992B-A05897041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Adviesformulier raad .dotm</Template>
  <TotalTime>48</TotalTime>
  <Pages>3</Pages>
  <Words>984</Words>
  <Characters>5416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C O N C E P T</vt:lpstr>
    </vt:vector>
  </TitlesOfParts>
  <Company>Gemeente Ooststellingwerf</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C E P T</dc:title>
  <dc:creator>Cees van Bruggen</dc:creator>
  <cp:lastModifiedBy>Veen, Ilse van der</cp:lastModifiedBy>
  <cp:revision>9</cp:revision>
  <cp:lastPrinted>2017-10-19T08:46:00Z</cp:lastPrinted>
  <dcterms:created xsi:type="dcterms:W3CDTF">2017-10-18T06:49:00Z</dcterms:created>
  <dcterms:modified xsi:type="dcterms:W3CDTF">2017-10-31T09:30:00Z</dcterms:modified>
</cp:coreProperties>
</file>