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8A" w:rsidRDefault="00E6738A"/>
    <w:p w:rsidR="00E6738A" w:rsidRDefault="00E6738A"/>
    <w:sdt>
      <w:sdtPr>
        <w:rPr>
          <w:rFonts w:ascii="Arial" w:eastAsiaTheme="minorHAnsi" w:hAnsi="Arial" w:cstheme="minorBidi"/>
          <w:b w:val="0"/>
          <w:bCs w:val="0"/>
          <w:color w:val="auto"/>
          <w:sz w:val="22"/>
          <w:szCs w:val="22"/>
          <w:lang w:eastAsia="en-US"/>
        </w:rPr>
        <w:id w:val="1311366165"/>
        <w:docPartObj>
          <w:docPartGallery w:val="Table of Contents"/>
          <w:docPartUnique/>
        </w:docPartObj>
      </w:sdtPr>
      <w:sdtEndPr/>
      <w:sdtContent>
        <w:p w:rsidR="00E6738A" w:rsidRDefault="00E6738A" w:rsidP="00E6738A">
          <w:pPr>
            <w:pStyle w:val="Kopvaninhoudsopgave"/>
          </w:pPr>
          <w:r>
            <w:t>Inhoud</w:t>
          </w:r>
        </w:p>
        <w:p w:rsidR="00F07C0E" w:rsidRDefault="00E6738A">
          <w:pPr>
            <w:pStyle w:val="Inhopg1"/>
            <w:tabs>
              <w:tab w:val="right" w:leader="dot" w:pos="9062"/>
            </w:tabs>
            <w:rPr>
              <w:rFonts w:asciiTheme="minorHAnsi" w:eastAsiaTheme="minorEastAsia" w:hAnsiTheme="minorHAnsi"/>
              <w:noProof/>
              <w:lang w:eastAsia="nl-NL"/>
            </w:rPr>
          </w:pPr>
          <w:r>
            <w:fldChar w:fldCharType="begin"/>
          </w:r>
          <w:r>
            <w:instrText xml:space="preserve"> TOC \o "1-3" \h \z \u </w:instrText>
          </w:r>
          <w:r>
            <w:fldChar w:fldCharType="separate"/>
          </w:r>
          <w:hyperlink w:anchor="_Toc525046025" w:history="1">
            <w:r w:rsidR="00F07C0E" w:rsidRPr="00AD7B86">
              <w:rPr>
                <w:rStyle w:val="Hyperlink"/>
                <w:noProof/>
              </w:rPr>
              <w:t>Inleiding</w:t>
            </w:r>
            <w:r w:rsidR="00F07C0E">
              <w:rPr>
                <w:noProof/>
                <w:webHidden/>
              </w:rPr>
              <w:tab/>
            </w:r>
            <w:r w:rsidR="00F07C0E">
              <w:rPr>
                <w:noProof/>
                <w:webHidden/>
              </w:rPr>
              <w:fldChar w:fldCharType="begin"/>
            </w:r>
            <w:r w:rsidR="00F07C0E">
              <w:rPr>
                <w:noProof/>
                <w:webHidden/>
              </w:rPr>
              <w:instrText xml:space="preserve"> PAGEREF _Toc525046025 \h </w:instrText>
            </w:r>
            <w:r w:rsidR="00F07C0E">
              <w:rPr>
                <w:noProof/>
                <w:webHidden/>
              </w:rPr>
            </w:r>
            <w:r w:rsidR="00F07C0E">
              <w:rPr>
                <w:noProof/>
                <w:webHidden/>
              </w:rPr>
              <w:fldChar w:fldCharType="separate"/>
            </w:r>
            <w:r w:rsidR="00F07C0E">
              <w:rPr>
                <w:noProof/>
                <w:webHidden/>
              </w:rPr>
              <w:t>2</w:t>
            </w:r>
            <w:r w:rsidR="00F07C0E">
              <w:rPr>
                <w:noProof/>
                <w:webHidden/>
              </w:rPr>
              <w:fldChar w:fldCharType="end"/>
            </w:r>
          </w:hyperlink>
        </w:p>
        <w:p w:rsidR="00F07C0E" w:rsidRDefault="00D511F9">
          <w:pPr>
            <w:pStyle w:val="Inhopg1"/>
            <w:tabs>
              <w:tab w:val="right" w:leader="dot" w:pos="9062"/>
            </w:tabs>
            <w:rPr>
              <w:rFonts w:asciiTheme="minorHAnsi" w:eastAsiaTheme="minorEastAsia" w:hAnsiTheme="minorHAnsi"/>
              <w:noProof/>
              <w:lang w:eastAsia="nl-NL"/>
            </w:rPr>
          </w:pPr>
          <w:hyperlink w:anchor="_Toc525046026" w:history="1">
            <w:r w:rsidR="00F07C0E" w:rsidRPr="00AD7B86">
              <w:rPr>
                <w:rStyle w:val="Hyperlink"/>
                <w:noProof/>
              </w:rPr>
              <w:t>1. Prognose financieel resultaat 2018</w:t>
            </w:r>
            <w:r w:rsidR="00F07C0E">
              <w:rPr>
                <w:noProof/>
                <w:webHidden/>
              </w:rPr>
              <w:tab/>
            </w:r>
            <w:r w:rsidR="00F07C0E">
              <w:rPr>
                <w:noProof/>
                <w:webHidden/>
              </w:rPr>
              <w:fldChar w:fldCharType="begin"/>
            </w:r>
            <w:r w:rsidR="00F07C0E">
              <w:rPr>
                <w:noProof/>
                <w:webHidden/>
              </w:rPr>
              <w:instrText xml:space="preserve"> PAGEREF _Toc525046026 \h </w:instrText>
            </w:r>
            <w:r w:rsidR="00F07C0E">
              <w:rPr>
                <w:noProof/>
                <w:webHidden/>
              </w:rPr>
            </w:r>
            <w:r w:rsidR="00F07C0E">
              <w:rPr>
                <w:noProof/>
                <w:webHidden/>
              </w:rPr>
              <w:fldChar w:fldCharType="separate"/>
            </w:r>
            <w:r w:rsidR="00F07C0E">
              <w:rPr>
                <w:noProof/>
                <w:webHidden/>
              </w:rPr>
              <w:t>2</w:t>
            </w:r>
            <w:r w:rsidR="00F07C0E">
              <w:rPr>
                <w:noProof/>
                <w:webHidden/>
              </w:rPr>
              <w:fldChar w:fldCharType="end"/>
            </w:r>
          </w:hyperlink>
        </w:p>
        <w:p w:rsidR="00F07C0E" w:rsidRDefault="00D511F9">
          <w:pPr>
            <w:pStyle w:val="Inhopg1"/>
            <w:tabs>
              <w:tab w:val="right" w:leader="dot" w:pos="9062"/>
            </w:tabs>
            <w:rPr>
              <w:rFonts w:asciiTheme="minorHAnsi" w:eastAsiaTheme="minorEastAsia" w:hAnsiTheme="minorHAnsi"/>
              <w:noProof/>
              <w:lang w:eastAsia="nl-NL"/>
            </w:rPr>
          </w:pPr>
          <w:hyperlink w:anchor="_Toc525046027" w:history="1">
            <w:r w:rsidR="00F07C0E" w:rsidRPr="00AD7B86">
              <w:rPr>
                <w:rStyle w:val="Hyperlink"/>
                <w:noProof/>
              </w:rPr>
              <w:t>2. Analyse van het financieel resultaat in de Najaarsrapportage 2018</w:t>
            </w:r>
            <w:r w:rsidR="00F07C0E">
              <w:rPr>
                <w:noProof/>
                <w:webHidden/>
              </w:rPr>
              <w:tab/>
            </w:r>
            <w:r w:rsidR="00F07C0E">
              <w:rPr>
                <w:noProof/>
                <w:webHidden/>
              </w:rPr>
              <w:fldChar w:fldCharType="begin"/>
            </w:r>
            <w:r w:rsidR="00F07C0E">
              <w:rPr>
                <w:noProof/>
                <w:webHidden/>
              </w:rPr>
              <w:instrText xml:space="preserve"> PAGEREF _Toc525046027 \h </w:instrText>
            </w:r>
            <w:r w:rsidR="00F07C0E">
              <w:rPr>
                <w:noProof/>
                <w:webHidden/>
              </w:rPr>
            </w:r>
            <w:r w:rsidR="00F07C0E">
              <w:rPr>
                <w:noProof/>
                <w:webHidden/>
              </w:rPr>
              <w:fldChar w:fldCharType="separate"/>
            </w:r>
            <w:r w:rsidR="00F07C0E">
              <w:rPr>
                <w:noProof/>
                <w:webHidden/>
              </w:rPr>
              <w:t>3</w:t>
            </w:r>
            <w:r w:rsidR="00F07C0E">
              <w:rPr>
                <w:noProof/>
                <w:webHidden/>
              </w:rPr>
              <w:fldChar w:fldCharType="end"/>
            </w:r>
          </w:hyperlink>
        </w:p>
        <w:p w:rsidR="00F07C0E" w:rsidRDefault="00D511F9">
          <w:pPr>
            <w:pStyle w:val="Inhopg1"/>
            <w:tabs>
              <w:tab w:val="right" w:leader="dot" w:pos="9062"/>
            </w:tabs>
            <w:rPr>
              <w:rFonts w:asciiTheme="minorHAnsi" w:eastAsiaTheme="minorEastAsia" w:hAnsiTheme="minorHAnsi"/>
              <w:noProof/>
              <w:lang w:eastAsia="nl-NL"/>
            </w:rPr>
          </w:pPr>
          <w:hyperlink w:anchor="_Toc525046028" w:history="1">
            <w:r w:rsidR="00F07C0E" w:rsidRPr="00AD7B86">
              <w:rPr>
                <w:rStyle w:val="Hyperlink"/>
                <w:noProof/>
              </w:rPr>
              <w:t>Bijlage 1 Resultaten</w:t>
            </w:r>
            <w:r w:rsidR="00F07C0E">
              <w:rPr>
                <w:noProof/>
                <w:webHidden/>
              </w:rPr>
              <w:tab/>
            </w:r>
            <w:r w:rsidR="00F07C0E">
              <w:rPr>
                <w:noProof/>
                <w:webHidden/>
              </w:rPr>
              <w:fldChar w:fldCharType="begin"/>
            </w:r>
            <w:r w:rsidR="00F07C0E">
              <w:rPr>
                <w:noProof/>
                <w:webHidden/>
              </w:rPr>
              <w:instrText xml:space="preserve"> PAGEREF _Toc525046028 \h </w:instrText>
            </w:r>
            <w:r w:rsidR="00F07C0E">
              <w:rPr>
                <w:noProof/>
                <w:webHidden/>
              </w:rPr>
            </w:r>
            <w:r w:rsidR="00F07C0E">
              <w:rPr>
                <w:noProof/>
                <w:webHidden/>
              </w:rPr>
              <w:fldChar w:fldCharType="separate"/>
            </w:r>
            <w:r w:rsidR="00F07C0E">
              <w:rPr>
                <w:noProof/>
                <w:webHidden/>
              </w:rPr>
              <w:t>5</w:t>
            </w:r>
            <w:r w:rsidR="00F07C0E">
              <w:rPr>
                <w:noProof/>
                <w:webHidden/>
              </w:rPr>
              <w:fldChar w:fldCharType="end"/>
            </w:r>
          </w:hyperlink>
        </w:p>
        <w:p w:rsidR="00F07C0E" w:rsidRDefault="00D511F9">
          <w:pPr>
            <w:pStyle w:val="Inhopg1"/>
            <w:tabs>
              <w:tab w:val="right" w:leader="dot" w:pos="9062"/>
            </w:tabs>
            <w:rPr>
              <w:rFonts w:asciiTheme="minorHAnsi" w:eastAsiaTheme="minorEastAsia" w:hAnsiTheme="minorHAnsi"/>
              <w:noProof/>
              <w:lang w:eastAsia="nl-NL"/>
            </w:rPr>
          </w:pPr>
          <w:hyperlink w:anchor="_Toc525046029" w:history="1">
            <w:r w:rsidR="00F07C0E" w:rsidRPr="00AD7B86">
              <w:rPr>
                <w:rStyle w:val="Hyperlink"/>
                <w:noProof/>
              </w:rPr>
              <w:t>Bijlage 2 Wijzigingen over programma’s, zonder resultaatsimpact</w:t>
            </w:r>
            <w:r w:rsidR="00F07C0E">
              <w:rPr>
                <w:noProof/>
                <w:webHidden/>
              </w:rPr>
              <w:tab/>
            </w:r>
            <w:r w:rsidR="00F07C0E">
              <w:rPr>
                <w:noProof/>
                <w:webHidden/>
              </w:rPr>
              <w:fldChar w:fldCharType="begin"/>
            </w:r>
            <w:r w:rsidR="00F07C0E">
              <w:rPr>
                <w:noProof/>
                <w:webHidden/>
              </w:rPr>
              <w:instrText xml:space="preserve"> PAGEREF _Toc525046029 \h </w:instrText>
            </w:r>
            <w:r w:rsidR="00F07C0E">
              <w:rPr>
                <w:noProof/>
                <w:webHidden/>
              </w:rPr>
            </w:r>
            <w:r w:rsidR="00F07C0E">
              <w:rPr>
                <w:noProof/>
                <w:webHidden/>
              </w:rPr>
              <w:fldChar w:fldCharType="separate"/>
            </w:r>
            <w:r w:rsidR="00F07C0E">
              <w:rPr>
                <w:noProof/>
                <w:webHidden/>
              </w:rPr>
              <w:t>9</w:t>
            </w:r>
            <w:r w:rsidR="00F07C0E">
              <w:rPr>
                <w:noProof/>
                <w:webHidden/>
              </w:rPr>
              <w:fldChar w:fldCharType="end"/>
            </w:r>
          </w:hyperlink>
        </w:p>
        <w:p w:rsidR="00E6738A" w:rsidRDefault="00E6738A" w:rsidP="00E6738A">
          <w:r>
            <w:rPr>
              <w:b/>
              <w:bCs/>
            </w:rPr>
            <w:fldChar w:fldCharType="end"/>
          </w:r>
        </w:p>
      </w:sdtContent>
    </w:sdt>
    <w:p w:rsidR="00C92E1B" w:rsidRDefault="00E6738A" w:rsidP="00E6738A">
      <w:r>
        <w:t xml:space="preserve"> </w:t>
      </w:r>
      <w:r w:rsidR="00C92E1B">
        <w:br w:type="page"/>
      </w:r>
    </w:p>
    <w:p w:rsidR="005C382C" w:rsidRDefault="00C92E1B" w:rsidP="00C92E1B">
      <w:pPr>
        <w:pStyle w:val="Kop1"/>
      </w:pPr>
      <w:bookmarkStart w:id="0" w:name="_Toc525046025"/>
      <w:r>
        <w:lastRenderedPageBreak/>
        <w:t>Inleiding</w:t>
      </w:r>
      <w:bookmarkEnd w:id="0"/>
    </w:p>
    <w:p w:rsidR="00C92E1B" w:rsidRPr="00C92E1B" w:rsidRDefault="00DF0FD1" w:rsidP="00C92E1B">
      <w:r>
        <w:t xml:space="preserve">Voor u ligt de </w:t>
      </w:r>
      <w:proofErr w:type="spellStart"/>
      <w:r>
        <w:t>N</w:t>
      </w:r>
      <w:r w:rsidR="00C92E1B" w:rsidRPr="00C92E1B">
        <w:t>ajaarsrapportage</w:t>
      </w:r>
      <w:proofErr w:type="spellEnd"/>
      <w:r w:rsidR="00C92E1B" w:rsidRPr="00C92E1B">
        <w:t xml:space="preserve"> van 2018. Deze bevat een prognose van het financiële resultaat aan het einde van het jaar 2018. Het financiële resultaat ontstaat door afwijkingen</w:t>
      </w:r>
      <w:r w:rsidR="001A634E">
        <w:t xml:space="preserve"> en nieuwe inzichten</w:t>
      </w:r>
      <w:r w:rsidR="00C92E1B" w:rsidRPr="00C92E1B">
        <w:t xml:space="preserve"> binnen de programma’s. Per programma analyseren we de financiële afwijkingen op hoofdlijnen. De afwijkingen zijn bijgewerkt tot halverwege augustus</w:t>
      </w:r>
      <w:r>
        <w:t xml:space="preserve"> 2018</w:t>
      </w:r>
      <w:r w:rsidR="00C92E1B" w:rsidRPr="00C92E1B">
        <w:t>.</w:t>
      </w:r>
    </w:p>
    <w:p w:rsidR="00C92E1B" w:rsidRPr="00C92E1B" w:rsidRDefault="00C92E1B" w:rsidP="00C92E1B"/>
    <w:p w:rsidR="00C92E1B" w:rsidRPr="00C92E1B" w:rsidRDefault="00C92E1B" w:rsidP="00C92E1B">
      <w:r w:rsidRPr="00C92E1B">
        <w:t>In de rapportage staat in het eerste hoofdstuk het bijgesteld</w:t>
      </w:r>
      <w:r w:rsidR="00DF0FD1">
        <w:t xml:space="preserve">e begrotingsperspectief na de </w:t>
      </w:r>
      <w:proofErr w:type="spellStart"/>
      <w:r w:rsidR="00DF0FD1">
        <w:t>N</w:t>
      </w:r>
      <w:r w:rsidRPr="00C92E1B">
        <w:t>ajaarsrapportage</w:t>
      </w:r>
      <w:proofErr w:type="spellEnd"/>
      <w:r w:rsidRPr="00C92E1B">
        <w:t xml:space="preserve">. In hoofdstuk 2 </w:t>
      </w:r>
      <w:r w:rsidR="00DF0FD1">
        <w:t xml:space="preserve">staat hoe het resultaat van de </w:t>
      </w:r>
      <w:proofErr w:type="spellStart"/>
      <w:r w:rsidR="00DF0FD1">
        <w:t>N</w:t>
      </w:r>
      <w:r w:rsidRPr="00C92E1B">
        <w:t>ajaarsrapportage</w:t>
      </w:r>
      <w:proofErr w:type="spellEnd"/>
      <w:r w:rsidRPr="00C92E1B">
        <w:t xml:space="preserve"> is ontstaan per programma </w:t>
      </w:r>
      <w:r w:rsidR="00DF0FD1">
        <w:t xml:space="preserve">en </w:t>
      </w:r>
      <w:r w:rsidRPr="00C92E1B">
        <w:t xml:space="preserve">worden de afwijkingen groter dan € 25.000 toegelicht. </w:t>
      </w:r>
    </w:p>
    <w:p w:rsidR="00C92E1B" w:rsidRPr="00C92E1B" w:rsidRDefault="00C92E1B" w:rsidP="00C92E1B"/>
    <w:p w:rsidR="00C92E1B" w:rsidRPr="00C92E1B" w:rsidRDefault="00DF0FD1" w:rsidP="00C92E1B">
      <w:r>
        <w:t xml:space="preserve">Deze </w:t>
      </w:r>
      <w:proofErr w:type="spellStart"/>
      <w:r>
        <w:t>N</w:t>
      </w:r>
      <w:r w:rsidR="00C92E1B" w:rsidRPr="00C92E1B">
        <w:t>ajaarsrapportage</w:t>
      </w:r>
      <w:proofErr w:type="spellEnd"/>
      <w:r w:rsidR="00C92E1B" w:rsidRPr="00C92E1B">
        <w:t xml:space="preserve"> bevat </w:t>
      </w:r>
      <w:r>
        <w:t>twee</w:t>
      </w:r>
      <w:r w:rsidR="00C92E1B" w:rsidRPr="00C92E1B">
        <w:t xml:space="preserve"> bijlagen. </w:t>
      </w:r>
    </w:p>
    <w:p w:rsidR="002A5FB8" w:rsidRPr="00C92E1B" w:rsidRDefault="002A5FB8" w:rsidP="00C92E1B">
      <w:pPr>
        <w:numPr>
          <w:ilvl w:val="0"/>
          <w:numId w:val="1"/>
        </w:numPr>
      </w:pPr>
      <w:r w:rsidRPr="00C92E1B">
        <w:t xml:space="preserve">Bijlage 1: aanpassingen die </w:t>
      </w:r>
      <w:r w:rsidR="00DF0FD1">
        <w:t>invloed hebben op het resultaat.</w:t>
      </w:r>
    </w:p>
    <w:p w:rsidR="00DF0FD1" w:rsidRPr="00E24318" w:rsidRDefault="002A5FB8" w:rsidP="00E24318">
      <w:pPr>
        <w:numPr>
          <w:ilvl w:val="0"/>
          <w:numId w:val="1"/>
        </w:numPr>
      </w:pPr>
      <w:r w:rsidRPr="00C92E1B">
        <w:t>Bijlage 2: aanpassingen die geen resultaatinvloed hebben, maar waarbij er verschuivingen o</w:t>
      </w:r>
      <w:r w:rsidR="00DF0FD1">
        <w:t>ver de programma’s plaatsvinden.</w:t>
      </w:r>
    </w:p>
    <w:p w:rsidR="00C92E1B" w:rsidRPr="00DF0FD1" w:rsidRDefault="00C92E1B" w:rsidP="00DF0FD1">
      <w:pPr>
        <w:pStyle w:val="Kop1"/>
      </w:pPr>
      <w:bookmarkStart w:id="1" w:name="_Toc525046026"/>
      <w:r>
        <w:t>1. Prognose financieel resultaat 2018</w:t>
      </w:r>
      <w:bookmarkEnd w:id="1"/>
    </w:p>
    <w:p w:rsidR="00C92E1B" w:rsidRPr="00E2457B" w:rsidRDefault="00C92E1B" w:rsidP="00C92E1B">
      <w:r w:rsidRPr="00C92E1B">
        <w:t>In onderstaand overzicht is een prognose opgenomen van het financieel resultaat aan het einde van 2018. De prognose is gebaseerd op de meest actuele en bij ons bekende ont</w:t>
      </w:r>
      <w:r w:rsidR="002D199D">
        <w:t>wikkelingen per</w:t>
      </w:r>
      <w:r w:rsidR="00DF0FD1">
        <w:t xml:space="preserve"> medio</w:t>
      </w:r>
      <w:r w:rsidR="002D199D">
        <w:t xml:space="preserve"> augustus 2018</w:t>
      </w:r>
      <w:r w:rsidR="002D199D" w:rsidRPr="00E2457B">
        <w:t xml:space="preserve">. </w:t>
      </w:r>
      <w:r w:rsidR="00B95AFD" w:rsidRPr="00E2457B">
        <w:t>Hierbij merken wij op dat onze aanvraag bij de ‘stroppenpot’ van het Rijk</w:t>
      </w:r>
      <w:r w:rsidR="00F92E2D" w:rsidRPr="00E2457B">
        <w:t xml:space="preserve"> € 797.000</w:t>
      </w:r>
      <w:r w:rsidR="00B95AFD" w:rsidRPr="00E2457B">
        <w:t xml:space="preserve"> (jeugd en WMO) </w:t>
      </w:r>
      <w:r w:rsidR="00B95AFD" w:rsidRPr="00E2457B">
        <w:rPr>
          <w:u w:val="single"/>
        </w:rPr>
        <w:t>niet</w:t>
      </w:r>
      <w:r w:rsidR="00B95AFD" w:rsidRPr="00E2457B">
        <w:t xml:space="preserve"> </w:t>
      </w:r>
      <w:r w:rsidR="00F92E2D" w:rsidRPr="00E2457B">
        <w:t xml:space="preserve">in dit perspectief is verwerkt. Ook hebben we </w:t>
      </w:r>
      <w:r w:rsidR="00DF6E8D" w:rsidRPr="00E2457B">
        <w:t xml:space="preserve">voor </w:t>
      </w:r>
      <w:r w:rsidR="00F92E2D" w:rsidRPr="00E2457B">
        <w:t xml:space="preserve">jeugdhulp rekening gehouden met het </w:t>
      </w:r>
      <w:r w:rsidR="00F92E2D" w:rsidRPr="00E2457B">
        <w:rPr>
          <w:u w:val="single"/>
        </w:rPr>
        <w:t>minimale</w:t>
      </w:r>
      <w:r w:rsidR="00E2457B">
        <w:t xml:space="preserve"> tekort</w:t>
      </w:r>
      <w:r w:rsidR="00F92E2D" w:rsidRPr="00E2457B">
        <w:t>. Deze ontwikkelingen kunnen zorgen voor een ander begrotingsperspectief</w:t>
      </w:r>
      <w:r w:rsidR="00E2457B">
        <w:t xml:space="preserve"> eind 2018</w:t>
      </w:r>
      <w:r w:rsidR="00F92E2D" w:rsidRPr="00E2457B">
        <w:t xml:space="preserve">. </w:t>
      </w:r>
    </w:p>
    <w:p w:rsidR="00B95AFD" w:rsidRDefault="00B95AFD" w:rsidP="00C92E1B"/>
    <w:p w:rsidR="00DF0FD1" w:rsidRDefault="00F07713" w:rsidP="00DF0FD1">
      <w:r w:rsidRPr="00F07713">
        <w:rPr>
          <w:noProof/>
          <w:lang w:eastAsia="nl-NL"/>
        </w:rPr>
        <w:drawing>
          <wp:inline distT="0" distB="0" distL="0" distR="0">
            <wp:extent cx="4086860" cy="3188335"/>
            <wp:effectExtent l="0" t="0" r="889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860" cy="3188335"/>
                    </a:xfrm>
                    <a:prstGeom prst="rect">
                      <a:avLst/>
                    </a:prstGeom>
                    <a:noFill/>
                    <a:ln>
                      <a:noFill/>
                    </a:ln>
                  </pic:spPr>
                </pic:pic>
              </a:graphicData>
            </a:graphic>
          </wp:inline>
        </w:drawing>
      </w:r>
    </w:p>
    <w:p w:rsidR="00F92E2D" w:rsidRDefault="00F92E2D" w:rsidP="00DF0FD1"/>
    <w:p w:rsidR="00F92E2D" w:rsidRDefault="00F92E2D" w:rsidP="00DF0FD1"/>
    <w:p w:rsidR="00F92E2D" w:rsidRDefault="00F92E2D" w:rsidP="00DF0FD1"/>
    <w:p w:rsidR="00F92E2D" w:rsidRDefault="00F92E2D" w:rsidP="00DF0FD1"/>
    <w:p w:rsidR="00F92E2D" w:rsidRPr="00DF0FD1" w:rsidRDefault="00F92E2D" w:rsidP="00DF0FD1"/>
    <w:p w:rsidR="00C92E1B" w:rsidRDefault="00C92E1B" w:rsidP="009A4655">
      <w:pPr>
        <w:pStyle w:val="Kop1"/>
      </w:pPr>
      <w:bookmarkStart w:id="2" w:name="_Toc525046027"/>
      <w:r>
        <w:lastRenderedPageBreak/>
        <w:t xml:space="preserve">2. Analyse van </w:t>
      </w:r>
      <w:r w:rsidR="00DF0FD1">
        <w:t xml:space="preserve">het financieel resultaat in de </w:t>
      </w:r>
      <w:proofErr w:type="spellStart"/>
      <w:r w:rsidR="00DF0FD1">
        <w:t>N</w:t>
      </w:r>
      <w:r>
        <w:t>ajaarsrapportage</w:t>
      </w:r>
      <w:proofErr w:type="spellEnd"/>
      <w:r>
        <w:t xml:space="preserve"> 2018</w:t>
      </w:r>
      <w:bookmarkEnd w:id="2"/>
    </w:p>
    <w:p w:rsidR="00DF0FD1" w:rsidRPr="009A4655" w:rsidRDefault="00DF0FD1" w:rsidP="009A4655">
      <w:r>
        <w:t xml:space="preserve">In onderstaande tabel staat het resultaat uit de </w:t>
      </w:r>
      <w:proofErr w:type="spellStart"/>
      <w:r>
        <w:t>Najaarsr</w:t>
      </w:r>
      <w:r w:rsidR="00E6738A">
        <w:t>apportage</w:t>
      </w:r>
      <w:proofErr w:type="spellEnd"/>
      <w:r w:rsidR="00E6738A">
        <w:t xml:space="preserve"> per programma. Onder d</w:t>
      </w:r>
      <w:r>
        <w:t xml:space="preserve">e tabel worden de afwijkingen &gt; € 25.000 toegelicht. In de bijlagen zijn alle verschillen verklaard. </w:t>
      </w:r>
    </w:p>
    <w:p w:rsidR="00DE1102" w:rsidRPr="00DF0FD1" w:rsidRDefault="00C92E1B" w:rsidP="00C92E1B">
      <w:r>
        <w:t xml:space="preserve"> </w:t>
      </w:r>
      <w:r w:rsidR="00F07713" w:rsidRPr="00F07713">
        <w:rPr>
          <w:noProof/>
          <w:lang w:eastAsia="nl-NL"/>
        </w:rPr>
        <w:drawing>
          <wp:inline distT="0" distB="0" distL="0" distR="0">
            <wp:extent cx="5200015" cy="1343660"/>
            <wp:effectExtent l="0" t="0" r="635"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015" cy="1343660"/>
                    </a:xfrm>
                    <a:prstGeom prst="rect">
                      <a:avLst/>
                    </a:prstGeom>
                    <a:noFill/>
                    <a:ln>
                      <a:noFill/>
                    </a:ln>
                  </pic:spPr>
                </pic:pic>
              </a:graphicData>
            </a:graphic>
          </wp:inline>
        </w:drawing>
      </w:r>
    </w:p>
    <w:p w:rsidR="00F92E2D" w:rsidRDefault="00F92E2D" w:rsidP="00C92E1B">
      <w:pPr>
        <w:rPr>
          <w:b/>
        </w:rPr>
      </w:pPr>
    </w:p>
    <w:p w:rsidR="00C92E1B" w:rsidRPr="00C92E1B" w:rsidRDefault="00C92E1B" w:rsidP="00C92E1B">
      <w:pPr>
        <w:rPr>
          <w:b/>
        </w:rPr>
      </w:pPr>
      <w:r w:rsidRPr="00C92E1B">
        <w:rPr>
          <w:b/>
        </w:rPr>
        <w:t xml:space="preserve">Programma 1 Sociaal Domein, </w:t>
      </w:r>
      <w:r w:rsidRPr="00F104E8">
        <w:rPr>
          <w:b/>
        </w:rPr>
        <w:t xml:space="preserve">nadeel € </w:t>
      </w:r>
      <w:r w:rsidR="00F104E8" w:rsidRPr="00F104E8">
        <w:rPr>
          <w:b/>
        </w:rPr>
        <w:t>1.881</w:t>
      </w:r>
      <w:r w:rsidRPr="00F104E8">
        <w:rPr>
          <w:b/>
        </w:rPr>
        <w:t>.000</w:t>
      </w:r>
    </w:p>
    <w:p w:rsidR="00DB13E7" w:rsidRPr="00DB13E7" w:rsidRDefault="00DB13E7" w:rsidP="00C92E1B">
      <w:pPr>
        <w:rPr>
          <w:i/>
        </w:rPr>
      </w:pPr>
      <w:r>
        <w:rPr>
          <w:i/>
        </w:rPr>
        <w:t>GR SW Fryslân, nadeel € 131.000</w:t>
      </w:r>
    </w:p>
    <w:p w:rsidR="002A5FB8" w:rsidRDefault="00536B3D" w:rsidP="00C92E1B">
      <w:r>
        <w:t xml:space="preserve">Nadeel van € 131.000 door een hogere bijdrage aan de GR SW Fryslân als gevolg van de begrotingswijziging van de GR. </w:t>
      </w:r>
      <w:r w:rsidR="00E7253C">
        <w:t xml:space="preserve">Zie ook het raadsvoorstel van 25 september 2018. </w:t>
      </w:r>
    </w:p>
    <w:p w:rsidR="00DB13E7" w:rsidRDefault="00DB13E7" w:rsidP="00C92E1B"/>
    <w:p w:rsidR="00DB13E7" w:rsidRPr="00DB13E7" w:rsidRDefault="00DB13E7" w:rsidP="00C92E1B">
      <w:pPr>
        <w:rPr>
          <w:i/>
        </w:rPr>
      </w:pPr>
      <w:r w:rsidRPr="00DB13E7">
        <w:rPr>
          <w:i/>
        </w:rPr>
        <w:t>Jeugd</w:t>
      </w:r>
      <w:r w:rsidR="00F104E8">
        <w:rPr>
          <w:i/>
        </w:rPr>
        <w:t>hulp</w:t>
      </w:r>
      <w:r w:rsidRPr="00DB13E7">
        <w:rPr>
          <w:i/>
        </w:rPr>
        <w:t xml:space="preserve">, </w:t>
      </w:r>
      <w:r w:rsidRPr="00F104E8">
        <w:rPr>
          <w:i/>
        </w:rPr>
        <w:t xml:space="preserve">nadeel </w:t>
      </w:r>
      <w:r w:rsidR="00F104E8" w:rsidRPr="00F104E8">
        <w:rPr>
          <w:i/>
          <w:color w:val="000000" w:themeColor="text1"/>
        </w:rPr>
        <w:t>€ 1.750</w:t>
      </w:r>
      <w:r w:rsidRPr="00F104E8">
        <w:rPr>
          <w:i/>
          <w:color w:val="000000" w:themeColor="text1"/>
        </w:rPr>
        <w:t>.000</w:t>
      </w:r>
    </w:p>
    <w:p w:rsidR="00DB13E7" w:rsidRDefault="00DB13E7" w:rsidP="00C92E1B">
      <w:r>
        <w:t xml:space="preserve">In 2018 verwachten we een tekort van minimaal € 1.750.000 op jeugdhulp. Het maximale tekort in 2018 is </w:t>
      </w:r>
      <w:r w:rsidR="00E22C1E">
        <w:t>€ 3.961.000</w:t>
      </w:r>
      <w:r>
        <w:t xml:space="preserve">. Zie ook de mededeling aan de raad over de ontwikkelingen Jeugdhulp van 18 september 2018. Er worden acties uitgevoerd om het inzicht in het tekort te verbeteren. In deze </w:t>
      </w:r>
      <w:r w:rsidRPr="00D511F9">
        <w:t xml:space="preserve">rapportage gaan we uit van het minimale tekort. Daarnaast hebben we een aanvraag gedaan bij de ‘stroppenpot’ van het Rijk. Dit is een fonds om gemeenten te compenseren voor de tekorten op het terrein van jeugd en WMO. Voor onze gemeente is de maximale vergoeding € 797.000. Dit </w:t>
      </w:r>
      <w:r w:rsidR="00F07713" w:rsidRPr="00D511F9">
        <w:t xml:space="preserve">bedrag hebben we niet opgenomen in deze </w:t>
      </w:r>
      <w:proofErr w:type="spellStart"/>
      <w:r w:rsidR="00F07713" w:rsidRPr="00D511F9">
        <w:t>Najaarsrapportage</w:t>
      </w:r>
      <w:proofErr w:type="spellEnd"/>
      <w:r w:rsidR="00F07713" w:rsidRPr="00D511F9">
        <w:t xml:space="preserve"> omdat het nog </w:t>
      </w:r>
      <w:r w:rsidRPr="00D511F9">
        <w:t>onzeker of we de bijdrage ontvangen. Dit hangt o.a. af van de landelijke ‘claim’ en het beschikbare budget binnen het fonds (€ 200 miljoen).</w:t>
      </w:r>
      <w:r w:rsidR="00F104E8" w:rsidRPr="00D511F9">
        <w:t xml:space="preserve"> </w:t>
      </w:r>
      <w:r w:rsidR="00677B9A" w:rsidRPr="00D511F9">
        <w:t xml:space="preserve">In de reserve Sociaal Domein is geen ruimte om </w:t>
      </w:r>
      <w:r w:rsidR="00F07713" w:rsidRPr="00D511F9">
        <w:t xml:space="preserve">het </w:t>
      </w:r>
      <w:r w:rsidR="00677B9A" w:rsidRPr="00D511F9">
        <w:t>tekort</w:t>
      </w:r>
      <w:r w:rsidR="00F07713" w:rsidRPr="00D511F9">
        <w:t xml:space="preserve"> van € 1.750.000</w:t>
      </w:r>
      <w:r w:rsidR="00677B9A" w:rsidRPr="00D511F9">
        <w:t xml:space="preserve"> op te</w:t>
      </w:r>
      <w:r w:rsidR="00677B9A">
        <w:t xml:space="preserve"> vangen.</w:t>
      </w:r>
    </w:p>
    <w:p w:rsidR="00E7253C" w:rsidRDefault="00E7253C" w:rsidP="00C92E1B"/>
    <w:p w:rsidR="00E7253C" w:rsidRDefault="00E7253C" w:rsidP="00C92E1B">
      <w:r>
        <w:t>WMO-oud</w:t>
      </w:r>
      <w:r w:rsidR="00536B3D">
        <w:t xml:space="preserve"> (</w:t>
      </w:r>
      <w:r w:rsidR="00536B3D" w:rsidRPr="00DD345F">
        <w:rPr>
          <w:i/>
        </w:rPr>
        <w:t xml:space="preserve">geen invloed op </w:t>
      </w:r>
      <w:r w:rsidR="008E3DD1" w:rsidRPr="00DD345F">
        <w:rPr>
          <w:i/>
        </w:rPr>
        <w:t>het resultaat, gevolgen verwerken</w:t>
      </w:r>
      <w:r w:rsidR="00536B3D" w:rsidRPr="00DD345F">
        <w:rPr>
          <w:i/>
        </w:rPr>
        <w:t xml:space="preserve"> in reserve Sociaal Domein</w:t>
      </w:r>
      <w:r w:rsidR="00536B3D">
        <w:t>)</w:t>
      </w:r>
      <w:r>
        <w:t>:</w:t>
      </w:r>
    </w:p>
    <w:p w:rsidR="00E7253C" w:rsidRDefault="0076449C" w:rsidP="00E7253C">
      <w:pPr>
        <w:pStyle w:val="Lijstalinea"/>
        <w:numPr>
          <w:ilvl w:val="0"/>
          <w:numId w:val="2"/>
        </w:numPr>
      </w:pPr>
      <w:r>
        <w:t xml:space="preserve">Voordeel van € 40.000 bij de woningaanpassingen. </w:t>
      </w:r>
      <w:r w:rsidR="00E7253C">
        <w:t xml:space="preserve">Op jaarbasis ramen we twee grote woningaanpassingen. Er is één aanpassing onderweg maar de vraag is of deze op 2018 drukt. Een andere ligt bij de </w:t>
      </w:r>
      <w:proofErr w:type="spellStart"/>
      <w:r>
        <w:t>CRvB</w:t>
      </w:r>
      <w:proofErr w:type="spellEnd"/>
      <w:r>
        <w:t xml:space="preserve"> (Centrale Raad van Beroep). Het is mogelijk dat we daar wel kosten gaan maken. Momenteel is aannemelijk dat we</w:t>
      </w:r>
      <w:r w:rsidR="00DD345F">
        <w:t xml:space="preserve"> een onderschrijding hebben</w:t>
      </w:r>
      <w:r>
        <w:t xml:space="preserve">. </w:t>
      </w:r>
    </w:p>
    <w:p w:rsidR="0076449C" w:rsidRDefault="0076449C" w:rsidP="00E7253C">
      <w:pPr>
        <w:pStyle w:val="Lijstalinea"/>
        <w:numPr>
          <w:ilvl w:val="0"/>
          <w:numId w:val="2"/>
        </w:numPr>
      </w:pPr>
      <w:r>
        <w:t xml:space="preserve">Voordeel van € 140.000 bij hulp bij het huishouden. De uitgaven zijn de laatste twee jaar lager dan geraamd. Het is aannemelijk dat dit ook voor 2018 geldt. </w:t>
      </w:r>
    </w:p>
    <w:p w:rsidR="00227100" w:rsidRPr="00227100" w:rsidRDefault="0076449C" w:rsidP="00227100">
      <w:pPr>
        <w:pStyle w:val="Lijstalinea"/>
        <w:numPr>
          <w:ilvl w:val="0"/>
          <w:numId w:val="2"/>
        </w:numPr>
        <w:rPr>
          <w:i/>
        </w:rPr>
      </w:pPr>
      <w:r>
        <w:t xml:space="preserve">Nadeel van € 80.000 bij </w:t>
      </w:r>
      <w:r w:rsidR="00DD345F">
        <w:t xml:space="preserve">de </w:t>
      </w:r>
      <w:r>
        <w:t>eigen bijd</w:t>
      </w:r>
      <w:r w:rsidR="00F52BD2">
        <w:t xml:space="preserve">rage </w:t>
      </w:r>
      <w:proofErr w:type="spellStart"/>
      <w:r w:rsidR="00F52BD2">
        <w:t>W</w:t>
      </w:r>
      <w:r>
        <w:t>mo</w:t>
      </w:r>
      <w:proofErr w:type="spellEnd"/>
      <w:r>
        <w:t xml:space="preserve">. Gelet op de ontwikkelingen van de eigen bijdragen maatwerkvoorzieningen en opvang </w:t>
      </w:r>
      <w:proofErr w:type="spellStart"/>
      <w:r>
        <w:t>Wmo</w:t>
      </w:r>
      <w:proofErr w:type="spellEnd"/>
      <w:r>
        <w:t xml:space="preserve"> in 2018 tot nu toe is het reëel om minder inkomsten te ramen</w:t>
      </w:r>
      <w:r w:rsidR="00227100">
        <w:t>.</w:t>
      </w:r>
      <w:r w:rsidR="001A634E">
        <w:t xml:space="preserve"> De structurele gevolgen (inclusief nieuwe systematiek) zijn verwerkt in de primitieve begroting 2019. </w:t>
      </w:r>
    </w:p>
    <w:p w:rsidR="0076449C" w:rsidRPr="00227100" w:rsidRDefault="0076449C" w:rsidP="00227100">
      <w:pPr>
        <w:rPr>
          <w:i/>
        </w:rPr>
      </w:pPr>
      <w:r w:rsidRPr="00227100">
        <w:rPr>
          <w:i/>
        </w:rPr>
        <w:t>Per saldo is dit een voordeel van € 100.000</w:t>
      </w:r>
      <w:r w:rsidR="00E6738A" w:rsidRPr="00227100">
        <w:rPr>
          <w:i/>
        </w:rPr>
        <w:t xml:space="preserve">. Dit betekent een lagere onttrekking uit de reserve </w:t>
      </w:r>
      <w:r w:rsidRPr="00227100">
        <w:rPr>
          <w:i/>
        </w:rPr>
        <w:t xml:space="preserve">Sociaal Domein. </w:t>
      </w:r>
    </w:p>
    <w:p w:rsidR="004A6A38" w:rsidRDefault="004A6A38" w:rsidP="00C92E1B">
      <w:pPr>
        <w:rPr>
          <w:b/>
          <w:color w:val="FF0000"/>
        </w:rPr>
      </w:pPr>
    </w:p>
    <w:p w:rsidR="000F0A90" w:rsidRDefault="000F0A90" w:rsidP="00C92E1B">
      <w:pPr>
        <w:rPr>
          <w:b/>
        </w:rPr>
      </w:pPr>
    </w:p>
    <w:p w:rsidR="00DF0FD1" w:rsidRDefault="0079593D" w:rsidP="00C92E1B">
      <w:pPr>
        <w:rPr>
          <w:b/>
        </w:rPr>
      </w:pPr>
      <w:r>
        <w:rPr>
          <w:b/>
        </w:rPr>
        <w:t>Programma 2 Welzijn en Educatie</w:t>
      </w:r>
    </w:p>
    <w:p w:rsidR="0079593D" w:rsidRPr="0079593D" w:rsidRDefault="0079593D" w:rsidP="00C92E1B">
      <w:r>
        <w:t>In dit programma zijn geen afwijkingen &gt; € 25.000 te vermelden.</w:t>
      </w:r>
    </w:p>
    <w:p w:rsidR="0079593D" w:rsidRDefault="0079593D" w:rsidP="00C92E1B">
      <w:pPr>
        <w:rPr>
          <w:b/>
        </w:rPr>
      </w:pPr>
    </w:p>
    <w:p w:rsidR="000F0A90" w:rsidRDefault="000F0A90" w:rsidP="0079593D">
      <w:pPr>
        <w:rPr>
          <w:b/>
        </w:rPr>
      </w:pPr>
    </w:p>
    <w:p w:rsidR="00F92E2D" w:rsidRDefault="00F92E2D" w:rsidP="0079593D">
      <w:pPr>
        <w:rPr>
          <w:b/>
        </w:rPr>
      </w:pPr>
    </w:p>
    <w:p w:rsidR="00F92E2D" w:rsidRDefault="00F92E2D" w:rsidP="0079593D">
      <w:pPr>
        <w:rPr>
          <w:b/>
        </w:rPr>
      </w:pPr>
    </w:p>
    <w:p w:rsidR="00F92E2D" w:rsidRDefault="00F92E2D" w:rsidP="0079593D">
      <w:pPr>
        <w:rPr>
          <w:b/>
        </w:rPr>
      </w:pPr>
    </w:p>
    <w:p w:rsidR="00F92E2D" w:rsidRDefault="00F92E2D" w:rsidP="0079593D">
      <w:pPr>
        <w:rPr>
          <w:b/>
        </w:rPr>
      </w:pPr>
    </w:p>
    <w:p w:rsidR="006B4FEB" w:rsidRPr="0079593D" w:rsidRDefault="00DE1102" w:rsidP="0079593D">
      <w:pPr>
        <w:rPr>
          <w:b/>
        </w:rPr>
      </w:pPr>
      <w:r>
        <w:rPr>
          <w:b/>
        </w:rPr>
        <w:lastRenderedPageBreak/>
        <w:t>Prog</w:t>
      </w:r>
      <w:bookmarkStart w:id="3" w:name="_GoBack"/>
      <w:bookmarkEnd w:id="3"/>
      <w:r>
        <w:rPr>
          <w:b/>
        </w:rPr>
        <w:t>ramma 3 Ruimtelijke en E</w:t>
      </w:r>
      <w:r w:rsidR="00C92E1B" w:rsidRPr="00C92E1B">
        <w:rPr>
          <w:b/>
        </w:rPr>
        <w:t xml:space="preserve">conomische </w:t>
      </w:r>
      <w:r w:rsidR="00C92E1B" w:rsidRPr="00DE1102">
        <w:rPr>
          <w:b/>
        </w:rPr>
        <w:t xml:space="preserve">ontwikkelingen, </w:t>
      </w:r>
      <w:r w:rsidRPr="00DE1102">
        <w:rPr>
          <w:b/>
        </w:rPr>
        <w:t>nadeel € 78.500</w:t>
      </w:r>
    </w:p>
    <w:p w:rsidR="006B4FEB" w:rsidRDefault="006B4FEB" w:rsidP="006B4FEB">
      <w:pPr>
        <w:pStyle w:val="Lijstalinea"/>
        <w:numPr>
          <w:ilvl w:val="0"/>
          <w:numId w:val="3"/>
        </w:numPr>
      </w:pPr>
      <w:r>
        <w:t xml:space="preserve">Nadeel van € 100.000 doordat het budget voor het nieuwe bestemmingsplan </w:t>
      </w:r>
      <w:proofErr w:type="spellStart"/>
      <w:r>
        <w:t>Prikkedam</w:t>
      </w:r>
      <w:proofErr w:type="spellEnd"/>
      <w:r>
        <w:t xml:space="preserve"> is besteed (€ 76.500) en er nog geen bestemmingsplan inclusief </w:t>
      </w:r>
      <w:proofErr w:type="spellStart"/>
      <w:r>
        <w:t>PlanMer</w:t>
      </w:r>
      <w:proofErr w:type="spellEnd"/>
      <w:r>
        <w:t xml:space="preserve"> ligt. De vervolgkosten voor het opstellen van het bestemm</w:t>
      </w:r>
      <w:r w:rsidR="00151BF0">
        <w:t xml:space="preserve">ingsplan en de </w:t>
      </w:r>
      <w:proofErr w:type="spellStart"/>
      <w:r w:rsidR="00151BF0">
        <w:t>PlanMer</w:t>
      </w:r>
      <w:proofErr w:type="spellEnd"/>
      <w:r w:rsidR="00151BF0">
        <w:t xml:space="preserve"> worden </w:t>
      </w:r>
      <w:r>
        <w:t xml:space="preserve">geschat op € 100.000. </w:t>
      </w:r>
    </w:p>
    <w:p w:rsidR="006B4FEB" w:rsidRDefault="006B4FEB" w:rsidP="006B4FEB">
      <w:pPr>
        <w:pStyle w:val="Lijstalinea"/>
        <w:numPr>
          <w:ilvl w:val="0"/>
          <w:numId w:val="3"/>
        </w:numPr>
      </w:pPr>
      <w:r>
        <w:t xml:space="preserve">Voordeel van € 25.000 door een vergoeding van het </w:t>
      </w:r>
      <w:proofErr w:type="spellStart"/>
      <w:r>
        <w:t>Wetterskip</w:t>
      </w:r>
      <w:proofErr w:type="spellEnd"/>
      <w:r>
        <w:t xml:space="preserve"> in verband met het onderhoud van de watergangen. De</w:t>
      </w:r>
      <w:r w:rsidR="00AE3FE4">
        <w:t>ze</w:t>
      </w:r>
      <w:r>
        <w:t xml:space="preserve"> bijdrage is in de primitieve begroting 2019 </w:t>
      </w:r>
      <w:r w:rsidR="00AE3FE4">
        <w:t xml:space="preserve">structureel </w:t>
      </w:r>
      <w:r>
        <w:t xml:space="preserve">verwerkt. </w:t>
      </w:r>
    </w:p>
    <w:p w:rsidR="006B4FEB" w:rsidRDefault="006B4FEB" w:rsidP="006B4FEB">
      <w:pPr>
        <w:pStyle w:val="Lijstalinea"/>
        <w:numPr>
          <w:ilvl w:val="0"/>
          <w:numId w:val="3"/>
        </w:numPr>
      </w:pPr>
      <w:r>
        <w:t xml:space="preserve">Voordeel van € 40.000 door de opbrengst van de grondruil </w:t>
      </w:r>
      <w:proofErr w:type="spellStart"/>
      <w:r>
        <w:t>Boerestreek</w:t>
      </w:r>
      <w:proofErr w:type="spellEnd"/>
      <w:r>
        <w:t xml:space="preserve">. </w:t>
      </w:r>
    </w:p>
    <w:p w:rsidR="0079593D" w:rsidRDefault="0079593D" w:rsidP="006B4FEB">
      <w:pPr>
        <w:pStyle w:val="Lijstalinea"/>
        <w:numPr>
          <w:ilvl w:val="0"/>
          <w:numId w:val="3"/>
        </w:numPr>
      </w:pPr>
      <w:r>
        <w:t>Nadeel van € 43.500 door o</w:t>
      </w:r>
      <w:r w:rsidR="00E6738A">
        <w:t>verige kleine afwijkingen.</w:t>
      </w:r>
    </w:p>
    <w:p w:rsidR="00C92E1B" w:rsidRDefault="00C92E1B" w:rsidP="00C92E1B"/>
    <w:p w:rsidR="00DF0FD1" w:rsidRDefault="00536B3D" w:rsidP="00C92E1B">
      <w:r>
        <w:t xml:space="preserve">Daarnaast zijn in dit programma wijzigingen in de grondexploitatie. </w:t>
      </w:r>
      <w:r w:rsidR="00DD345F">
        <w:t>Die zijn verwerkt in de boekwaarde, dat is namelijk de sluitpost voor de grondexploitatie. Daarom zijn hier geen resultaatconsequenties.</w:t>
      </w:r>
    </w:p>
    <w:p w:rsidR="0079593D" w:rsidRPr="0079593D" w:rsidRDefault="0079593D" w:rsidP="00C92E1B"/>
    <w:p w:rsidR="000F0A90" w:rsidRDefault="000F0A90" w:rsidP="00C92E1B">
      <w:pPr>
        <w:rPr>
          <w:b/>
        </w:rPr>
      </w:pPr>
    </w:p>
    <w:p w:rsidR="000F0A90" w:rsidRDefault="000F0A90" w:rsidP="00C92E1B">
      <w:pPr>
        <w:rPr>
          <w:b/>
        </w:rPr>
      </w:pPr>
    </w:p>
    <w:p w:rsidR="006B4FEB" w:rsidRPr="009A4655" w:rsidRDefault="006B4FEB" w:rsidP="00C92E1B">
      <w:pPr>
        <w:rPr>
          <w:b/>
        </w:rPr>
      </w:pPr>
      <w:r w:rsidRPr="009A4655">
        <w:rPr>
          <w:b/>
        </w:rPr>
        <w:t>Programma 5 Openbare Orde en Veiligheid</w:t>
      </w:r>
    </w:p>
    <w:p w:rsidR="00780E6B" w:rsidRPr="0079593D" w:rsidRDefault="00780E6B" w:rsidP="00780E6B">
      <w:r>
        <w:t>In dit programma zijn geen afwijkingen &gt; € 25.000 te vermelden.</w:t>
      </w:r>
    </w:p>
    <w:p w:rsidR="006B4FEB" w:rsidRDefault="006B4FEB" w:rsidP="006B4FEB"/>
    <w:p w:rsidR="000F0A90" w:rsidRDefault="000F0A90" w:rsidP="00C92E1B">
      <w:pPr>
        <w:rPr>
          <w:b/>
        </w:rPr>
      </w:pPr>
    </w:p>
    <w:p w:rsidR="009A4655" w:rsidRDefault="00DE1102" w:rsidP="00C92E1B">
      <w:pPr>
        <w:rPr>
          <w:b/>
        </w:rPr>
      </w:pPr>
      <w:r>
        <w:rPr>
          <w:b/>
        </w:rPr>
        <w:t>Programma 6 Bestuur en D</w:t>
      </w:r>
      <w:r w:rsidR="00C92E1B" w:rsidRPr="00C92E1B">
        <w:rPr>
          <w:b/>
        </w:rPr>
        <w:t xml:space="preserve">ienstverlening, </w:t>
      </w:r>
      <w:r w:rsidR="00F104E8">
        <w:rPr>
          <w:b/>
          <w:color w:val="000000" w:themeColor="text1"/>
        </w:rPr>
        <w:t xml:space="preserve">voordeel € </w:t>
      </w:r>
      <w:r w:rsidR="00F07713">
        <w:rPr>
          <w:b/>
          <w:color w:val="000000" w:themeColor="text1"/>
        </w:rPr>
        <w:t>72</w:t>
      </w:r>
      <w:r w:rsidRPr="00987B44">
        <w:rPr>
          <w:b/>
          <w:color w:val="000000" w:themeColor="text1"/>
        </w:rPr>
        <w:t>.000</w:t>
      </w:r>
    </w:p>
    <w:p w:rsidR="0093652A" w:rsidRPr="00780E6B" w:rsidRDefault="009A4655" w:rsidP="00780E6B">
      <w:pPr>
        <w:pStyle w:val="Lijstalinea"/>
        <w:numPr>
          <w:ilvl w:val="0"/>
          <w:numId w:val="5"/>
        </w:numPr>
        <w:rPr>
          <w:b/>
        </w:rPr>
      </w:pPr>
      <w:r>
        <w:t>Voordeel van € 55.000 op huisvesting door lagere representatiekosten en lagere bureau- en kopieerkosten. Daarnaast is het reste</w:t>
      </w:r>
      <w:r w:rsidR="0079593D">
        <w:t xml:space="preserve">rende budget voor mobiel werken </w:t>
      </w:r>
      <w:r>
        <w:t xml:space="preserve">niet meer nodig voor dit jaar. </w:t>
      </w:r>
    </w:p>
    <w:p w:rsidR="009A4655" w:rsidRPr="009A4655" w:rsidRDefault="009A4655" w:rsidP="009A4655">
      <w:pPr>
        <w:pStyle w:val="Lijstalinea"/>
        <w:numPr>
          <w:ilvl w:val="0"/>
          <w:numId w:val="5"/>
        </w:numPr>
        <w:rPr>
          <w:b/>
        </w:rPr>
      </w:pPr>
      <w:r>
        <w:t>Nadeel van per saldo € 25.000 bij de reisdocumenten. Per 9 maart 2014 is voor (een deel) van de reisdocumenten een gewijzigde geldigheidsduur ingevoerd: van vijf naar tien jaar voor 18 jaar en ouder. Deze wijziging betekent een structurele afname van de afgifte van die documenten in de komende jaren (t/m 2024) met lagere legesopbrengsten als gevolg (nadeel € 54.000). Per af te geven document draagt de gemeente een deel van de ontvangen leges af aan het Rijk. Doordat het aantal af te geven reisdocumenten lager wordt zal de afdracht lager zijn</w:t>
      </w:r>
      <w:r w:rsidR="00DD345F">
        <w:t xml:space="preserve"> (voordeel € 28.000)</w:t>
      </w:r>
      <w:r>
        <w:t>. In de primitieve begroting 2019 is bovenstaande</w:t>
      </w:r>
      <w:r w:rsidR="00AE3FE4">
        <w:t xml:space="preserve"> structureel</w:t>
      </w:r>
      <w:r>
        <w:t xml:space="preserve"> verwerkt. </w:t>
      </w:r>
    </w:p>
    <w:p w:rsidR="009A4655" w:rsidRPr="009A4655" w:rsidRDefault="009A4655" w:rsidP="009A4655">
      <w:pPr>
        <w:pStyle w:val="Lijstalinea"/>
        <w:numPr>
          <w:ilvl w:val="0"/>
          <w:numId w:val="5"/>
        </w:numPr>
        <w:rPr>
          <w:b/>
        </w:rPr>
      </w:pPr>
      <w:r>
        <w:t xml:space="preserve">Nadeel van € 83.000 voor wachtgeld van oud-wethouders voor 2018. Het structurele gevolg is verwerkt in de primitieve begroting van 2019. </w:t>
      </w:r>
    </w:p>
    <w:p w:rsidR="009A4655" w:rsidRPr="00DB00E0" w:rsidRDefault="009A4655" w:rsidP="009A4655">
      <w:pPr>
        <w:pStyle w:val="Lijstalinea"/>
        <w:numPr>
          <w:ilvl w:val="0"/>
          <w:numId w:val="5"/>
        </w:numPr>
        <w:rPr>
          <w:b/>
        </w:rPr>
      </w:pPr>
      <w:r>
        <w:t xml:space="preserve">Nadeel van € 36.000 voor het verlengen van de inzet van extra capaciteit en deskundigheid voor het plan van aanpak woningbouw Ooststellingwerf. </w:t>
      </w:r>
    </w:p>
    <w:p w:rsidR="00DB00E0" w:rsidRPr="00DB00E0" w:rsidRDefault="00DB00E0" w:rsidP="009A4655">
      <w:pPr>
        <w:pStyle w:val="Lijstalinea"/>
        <w:numPr>
          <w:ilvl w:val="0"/>
          <w:numId w:val="5"/>
        </w:numPr>
        <w:rPr>
          <w:b/>
        </w:rPr>
      </w:pPr>
      <w:r>
        <w:t xml:space="preserve">Voordeel van € 95.000 bij rentelasten kort geld. Op basis van de huidige liquiditeitsprognose is een deel van het beschikbare budget niet nodig. </w:t>
      </w:r>
    </w:p>
    <w:p w:rsidR="00DB00E0" w:rsidRPr="00DB00E0" w:rsidRDefault="00DB00E0" w:rsidP="009A4655">
      <w:pPr>
        <w:pStyle w:val="Lijstalinea"/>
        <w:numPr>
          <w:ilvl w:val="0"/>
          <w:numId w:val="5"/>
        </w:numPr>
        <w:rPr>
          <w:b/>
        </w:rPr>
      </w:pPr>
      <w:r>
        <w:t xml:space="preserve">Voordeel van € 72.000 </w:t>
      </w:r>
      <w:r w:rsidR="00DD345F">
        <w:t>bij</w:t>
      </w:r>
      <w:r>
        <w:t xml:space="preserve"> de OZB opbrengsten. Als gevolg van hogere WOZ-waarden (na het moment van tariefbepaling) is er een hogere opbrengst. Wel zijn er bezwaarschriften die nog kunnen leiden tot verminderingen. Daarom is nu 75% van de hogere opbrengst meegenomen.</w:t>
      </w:r>
    </w:p>
    <w:p w:rsidR="00E6738A" w:rsidRPr="00E6738A" w:rsidRDefault="00DB00E0" w:rsidP="00E6738A">
      <w:pPr>
        <w:pStyle w:val="Lijstalinea"/>
        <w:numPr>
          <w:ilvl w:val="0"/>
          <w:numId w:val="5"/>
        </w:numPr>
        <w:rPr>
          <w:b/>
        </w:rPr>
      </w:pPr>
      <w:r>
        <w:t xml:space="preserve">Voordeel van € 40.000 door hogere opbrengsten leges omgevingsvergunningen. De structurele gevolgen zijn in de primitieve begroting 2019 verwerkt. </w:t>
      </w:r>
      <w:bookmarkStart w:id="4" w:name="_Toc425161583"/>
      <w:bookmarkStart w:id="5" w:name="_Toc523147907"/>
    </w:p>
    <w:p w:rsidR="00687897" w:rsidRDefault="00687897" w:rsidP="00687897">
      <w:pPr>
        <w:pStyle w:val="Lijstalinea"/>
        <w:numPr>
          <w:ilvl w:val="0"/>
          <w:numId w:val="5"/>
        </w:numPr>
      </w:pPr>
      <w:r>
        <w:t xml:space="preserve">Nadeel van per saldo € 25.000 door </w:t>
      </w:r>
      <w:r w:rsidR="00780E6B">
        <w:t xml:space="preserve">hogere lasten bezwaren- en beroepsprocedures BVI </w:t>
      </w:r>
      <w:r>
        <w:t>bij BVI</w:t>
      </w:r>
      <w:r w:rsidR="00780E6B">
        <w:t xml:space="preserve"> (WOZ, overige belastingen waaronder de Precariobelasting). De lasten zijn € 75.000 hoger, per gemeente € 25.000.</w:t>
      </w:r>
      <w:r>
        <w:t xml:space="preserve"> </w:t>
      </w:r>
      <w:r w:rsidRPr="00687897">
        <w:t>De kosten bestaan uit 50% griffiekosten en vergoedingen aan</w:t>
      </w:r>
      <w:r>
        <w:t xml:space="preserve"> </w:t>
      </w:r>
      <w:r w:rsidRPr="00687897">
        <w:t>WOZ bureaus, rechtbanken en GDW+ (gerechtsdeurwaarder). De andere 50% is voor het in behandeling nemen van de proceszaken. Dit bestaat uit de controleverordeningen, opstellen uitspraken en verweerschriften, mondelinge behandeling bij Rechtbank en Gerechtshof, overleg heffingsambtenaar.</w:t>
      </w:r>
    </w:p>
    <w:p w:rsidR="00F104E8" w:rsidRPr="00F92E2D" w:rsidRDefault="00E6738A" w:rsidP="00F92E2D">
      <w:pPr>
        <w:pStyle w:val="Lijstalinea"/>
        <w:numPr>
          <w:ilvl w:val="0"/>
          <w:numId w:val="5"/>
        </w:numPr>
        <w:rPr>
          <w:b/>
        </w:rPr>
      </w:pPr>
      <w:r>
        <w:t xml:space="preserve">Nadeel van € 21.000 door overige kleine afwijkingen. </w:t>
      </w:r>
    </w:p>
    <w:p w:rsidR="00E6738A" w:rsidRPr="00E6738A" w:rsidRDefault="00F104E8" w:rsidP="00E6738A">
      <w:pPr>
        <w:ind w:left="360"/>
        <w:rPr>
          <w:b/>
        </w:rPr>
        <w:sectPr w:rsidR="00E6738A" w:rsidRPr="00E6738A" w:rsidSect="0093652A">
          <w:footerReference w:type="default" r:id="rId11"/>
          <w:pgSz w:w="11906" w:h="16838"/>
          <w:pgMar w:top="1417" w:right="1417" w:bottom="1417" w:left="1417" w:header="708" w:footer="708" w:gutter="0"/>
          <w:cols w:space="708"/>
          <w:docGrid w:linePitch="360"/>
        </w:sectPr>
      </w:pPr>
      <w:r>
        <w:t xml:space="preserve"> </w:t>
      </w:r>
    </w:p>
    <w:p w:rsidR="00C92E1B" w:rsidRPr="002A5FB8" w:rsidRDefault="00C92E1B" w:rsidP="0089395B">
      <w:pPr>
        <w:pStyle w:val="Kop1"/>
        <w:spacing w:before="0"/>
      </w:pPr>
      <w:bookmarkStart w:id="6" w:name="_Toc525046028"/>
      <w:r w:rsidRPr="00C92E1B">
        <w:lastRenderedPageBreak/>
        <w:t>Bijlage 1 Resultaten</w:t>
      </w:r>
      <w:bookmarkStart w:id="7" w:name="_Toc425161584"/>
      <w:bookmarkEnd w:id="4"/>
      <w:bookmarkEnd w:id="5"/>
      <w:bookmarkEnd w:id="6"/>
    </w:p>
    <w:tbl>
      <w:tblPr>
        <w:tblW w:w="13685" w:type="dxa"/>
        <w:tblInd w:w="55" w:type="dxa"/>
        <w:tblCellMar>
          <w:left w:w="70" w:type="dxa"/>
          <w:right w:w="70" w:type="dxa"/>
        </w:tblCellMar>
        <w:tblLook w:val="04A0" w:firstRow="1" w:lastRow="0" w:firstColumn="1" w:lastColumn="0" w:noHBand="0" w:noVBand="1"/>
      </w:tblPr>
      <w:tblGrid>
        <w:gridCol w:w="554"/>
        <w:gridCol w:w="554"/>
        <w:gridCol w:w="2168"/>
        <w:gridCol w:w="69"/>
        <w:gridCol w:w="6380"/>
        <w:gridCol w:w="1280"/>
        <w:gridCol w:w="1340"/>
        <w:gridCol w:w="1340"/>
      </w:tblGrid>
      <w:tr w:rsidR="002A5FB8" w:rsidRPr="008B7A49" w:rsidTr="00380A06">
        <w:trPr>
          <w:trHeight w:val="600"/>
        </w:trPr>
        <w:tc>
          <w:tcPr>
            <w:tcW w:w="3345" w:type="dxa"/>
            <w:gridSpan w:val="4"/>
            <w:tcBorders>
              <w:top w:val="nil"/>
              <w:left w:val="nil"/>
              <w:bottom w:val="nil"/>
              <w:right w:val="nil"/>
            </w:tcBorders>
            <w:shd w:val="clear" w:color="000000" w:fill="4F81BD"/>
            <w:noWrap/>
            <w:vAlign w:val="center"/>
            <w:hideMark/>
          </w:tcPr>
          <w:p w:rsidR="002A5FB8" w:rsidRPr="002C241A" w:rsidRDefault="002A5FB8" w:rsidP="002C241A">
            <w:pPr>
              <w:rPr>
                <w:rFonts w:eastAsia="Times New Roman" w:cs="Arial"/>
                <w:b/>
                <w:color w:val="FFFFFF"/>
                <w:sz w:val="20"/>
                <w:szCs w:val="20"/>
                <w:lang w:eastAsia="nl-NL"/>
              </w:rPr>
            </w:pPr>
            <w:bookmarkStart w:id="8" w:name="_Toc523147908"/>
            <w:bookmarkEnd w:id="7"/>
            <w:proofErr w:type="spellStart"/>
            <w:r w:rsidRPr="002C241A">
              <w:rPr>
                <w:rFonts w:eastAsia="Times New Roman" w:cs="Arial"/>
                <w:b/>
                <w:color w:val="FFFFFF"/>
                <w:sz w:val="20"/>
                <w:szCs w:val="20"/>
                <w:lang w:eastAsia="nl-NL"/>
              </w:rPr>
              <w:t>Najaarsrapportage</w:t>
            </w:r>
            <w:proofErr w:type="spellEnd"/>
            <w:r w:rsidRPr="002C241A">
              <w:rPr>
                <w:rFonts w:eastAsia="Times New Roman" w:cs="Arial"/>
                <w:b/>
                <w:color w:val="FFFFFF"/>
                <w:sz w:val="20"/>
                <w:szCs w:val="20"/>
                <w:lang w:eastAsia="nl-NL"/>
              </w:rPr>
              <w:t xml:space="preserve"> 2018</w:t>
            </w:r>
          </w:p>
        </w:tc>
        <w:tc>
          <w:tcPr>
            <w:tcW w:w="6380" w:type="dxa"/>
            <w:tcBorders>
              <w:top w:val="nil"/>
              <w:left w:val="nil"/>
              <w:bottom w:val="nil"/>
              <w:right w:val="nil"/>
            </w:tcBorders>
            <w:shd w:val="clear" w:color="000000" w:fill="4F81BD"/>
            <w:noWrap/>
            <w:vAlign w:val="center"/>
            <w:hideMark/>
          </w:tcPr>
          <w:p w:rsidR="002A5FB8" w:rsidRPr="000A7313" w:rsidRDefault="002A5FB8" w:rsidP="002C241A">
            <w:pPr>
              <w:rPr>
                <w:rFonts w:eastAsia="Times New Roman" w:cs="Arial"/>
                <w:color w:val="FFFFFF"/>
                <w:sz w:val="20"/>
                <w:szCs w:val="20"/>
                <w:lang w:eastAsia="nl-NL"/>
              </w:rPr>
            </w:pPr>
            <w:r w:rsidRPr="002C241A">
              <w:rPr>
                <w:rFonts w:eastAsia="Times New Roman" w:cs="Arial"/>
                <w:b/>
                <w:color w:val="FFFFFF"/>
                <w:sz w:val="20"/>
                <w:szCs w:val="20"/>
                <w:lang w:eastAsia="nl-NL"/>
              </w:rPr>
              <w:t> </w:t>
            </w:r>
            <w:r w:rsidR="000A7313">
              <w:rPr>
                <w:rFonts w:eastAsia="Times New Roman" w:cs="Arial"/>
                <w:b/>
                <w:color w:val="FFFFFF"/>
                <w:sz w:val="20"/>
                <w:szCs w:val="20"/>
                <w:lang w:eastAsia="nl-NL"/>
              </w:rPr>
              <w:t xml:space="preserve">                                                                           </w:t>
            </w:r>
            <w:r w:rsidR="000A7313" w:rsidRPr="000A7313">
              <w:rPr>
                <w:rFonts w:eastAsia="Times New Roman" w:cs="Arial"/>
                <w:color w:val="FFFFFF"/>
                <w:sz w:val="20"/>
                <w:szCs w:val="20"/>
                <w:lang w:eastAsia="nl-NL"/>
              </w:rPr>
              <w:t>(-) is nadeel</w:t>
            </w:r>
          </w:p>
        </w:tc>
        <w:tc>
          <w:tcPr>
            <w:tcW w:w="1280" w:type="dxa"/>
            <w:tcBorders>
              <w:top w:val="nil"/>
              <w:left w:val="nil"/>
              <w:bottom w:val="nil"/>
              <w:right w:val="nil"/>
            </w:tcBorders>
            <w:shd w:val="clear" w:color="000000" w:fill="4F81BD"/>
            <w:noWrap/>
            <w:vAlign w:val="center"/>
            <w:hideMark/>
          </w:tcPr>
          <w:p w:rsidR="002A5FB8" w:rsidRPr="002C241A" w:rsidRDefault="002A5FB8" w:rsidP="000A7313">
            <w:pPr>
              <w:jc w:val="center"/>
              <w:rPr>
                <w:rFonts w:eastAsia="Times New Roman" w:cs="Arial"/>
                <w:b/>
                <w:color w:val="FFFFFF"/>
                <w:sz w:val="20"/>
                <w:szCs w:val="20"/>
                <w:lang w:eastAsia="nl-NL"/>
              </w:rPr>
            </w:pPr>
            <w:r w:rsidRPr="002C241A">
              <w:rPr>
                <w:rFonts w:eastAsia="Times New Roman" w:cs="Arial"/>
                <w:b/>
                <w:color w:val="FFFFFF"/>
                <w:sz w:val="20"/>
                <w:szCs w:val="20"/>
                <w:lang w:eastAsia="nl-NL"/>
              </w:rPr>
              <w:t>Incidenteel</w:t>
            </w:r>
          </w:p>
        </w:tc>
        <w:tc>
          <w:tcPr>
            <w:tcW w:w="1340" w:type="dxa"/>
            <w:tcBorders>
              <w:top w:val="nil"/>
              <w:left w:val="nil"/>
              <w:bottom w:val="nil"/>
              <w:right w:val="nil"/>
            </w:tcBorders>
            <w:shd w:val="clear" w:color="000000" w:fill="4F81BD"/>
            <w:noWrap/>
            <w:vAlign w:val="center"/>
            <w:hideMark/>
          </w:tcPr>
          <w:p w:rsidR="002A5FB8" w:rsidRPr="002C241A" w:rsidRDefault="002A5FB8" w:rsidP="000A7313">
            <w:pPr>
              <w:jc w:val="center"/>
              <w:rPr>
                <w:rFonts w:eastAsia="Times New Roman" w:cs="Arial"/>
                <w:b/>
                <w:color w:val="FFFFFF"/>
                <w:sz w:val="20"/>
                <w:szCs w:val="20"/>
                <w:lang w:eastAsia="nl-NL"/>
              </w:rPr>
            </w:pPr>
            <w:r w:rsidRPr="002C241A">
              <w:rPr>
                <w:rFonts w:eastAsia="Times New Roman" w:cs="Arial"/>
                <w:b/>
                <w:color w:val="FFFFFF"/>
                <w:sz w:val="20"/>
                <w:szCs w:val="20"/>
                <w:lang w:eastAsia="nl-NL"/>
              </w:rPr>
              <w:t>Structureel</w:t>
            </w:r>
          </w:p>
        </w:tc>
        <w:tc>
          <w:tcPr>
            <w:tcW w:w="1340" w:type="dxa"/>
            <w:tcBorders>
              <w:top w:val="nil"/>
              <w:left w:val="nil"/>
              <w:bottom w:val="nil"/>
              <w:right w:val="nil"/>
            </w:tcBorders>
            <w:shd w:val="clear" w:color="000000" w:fill="4F81BD"/>
            <w:noWrap/>
            <w:vAlign w:val="center"/>
            <w:hideMark/>
          </w:tcPr>
          <w:p w:rsidR="002A5FB8" w:rsidRPr="002C241A" w:rsidRDefault="002A5FB8" w:rsidP="000A7313">
            <w:pPr>
              <w:jc w:val="center"/>
              <w:rPr>
                <w:rFonts w:eastAsia="Times New Roman" w:cs="Arial"/>
                <w:b/>
                <w:color w:val="FFFFFF"/>
                <w:sz w:val="20"/>
                <w:szCs w:val="20"/>
                <w:lang w:eastAsia="nl-NL"/>
              </w:rPr>
            </w:pPr>
            <w:r w:rsidRPr="002C241A">
              <w:rPr>
                <w:rFonts w:eastAsia="Times New Roman" w:cs="Arial"/>
                <w:b/>
                <w:color w:val="FFFFFF"/>
                <w:sz w:val="20"/>
                <w:szCs w:val="20"/>
                <w:lang w:eastAsia="nl-NL"/>
              </w:rPr>
              <w:t>Totaal</w:t>
            </w:r>
          </w:p>
        </w:tc>
      </w:tr>
      <w:tr w:rsidR="002A5FB8" w:rsidRPr="008B7A49" w:rsidTr="00380A06">
        <w:trPr>
          <w:trHeight w:val="255"/>
        </w:trPr>
        <w:tc>
          <w:tcPr>
            <w:tcW w:w="3345" w:type="dxa"/>
            <w:gridSpan w:val="4"/>
            <w:tcBorders>
              <w:top w:val="nil"/>
              <w:left w:val="nil"/>
              <w:bottom w:val="nil"/>
              <w:right w:val="nil"/>
            </w:tcBorders>
            <w:shd w:val="clear" w:color="DCE6F1" w:fill="DCE6F1"/>
            <w:noWrap/>
            <w:vAlign w:val="bottom"/>
            <w:hideMark/>
          </w:tcPr>
          <w:p w:rsidR="002A5FB8" w:rsidRPr="008B7A49" w:rsidRDefault="002C241A" w:rsidP="002A5FB8">
            <w:pPr>
              <w:rPr>
                <w:rFonts w:eastAsia="Times New Roman" w:cs="Arial"/>
                <w:b/>
                <w:bCs/>
                <w:color w:val="000000"/>
                <w:sz w:val="20"/>
                <w:szCs w:val="20"/>
                <w:lang w:eastAsia="nl-NL"/>
              </w:rPr>
            </w:pPr>
            <w:r>
              <w:rPr>
                <w:rFonts w:eastAsia="Times New Roman" w:cs="Arial"/>
                <w:b/>
                <w:bCs/>
                <w:color w:val="000000"/>
                <w:sz w:val="20"/>
                <w:szCs w:val="20"/>
                <w:lang w:eastAsia="nl-NL"/>
              </w:rPr>
              <w:t>1. Sociaal</w:t>
            </w:r>
            <w:r w:rsidR="002A5FB8" w:rsidRPr="008B7A49">
              <w:rPr>
                <w:rFonts w:eastAsia="Times New Roman" w:cs="Arial"/>
                <w:b/>
                <w:bCs/>
                <w:color w:val="000000"/>
                <w:sz w:val="20"/>
                <w:szCs w:val="20"/>
                <w:lang w:eastAsia="nl-NL"/>
              </w:rPr>
              <w:t xml:space="preserve"> Domein</w:t>
            </w:r>
          </w:p>
        </w:tc>
        <w:tc>
          <w:tcPr>
            <w:tcW w:w="638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28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u w:val="single"/>
                <w:lang w:eastAsia="nl-NL"/>
              </w:rPr>
            </w:pPr>
            <w:r w:rsidRPr="002C241A">
              <w:rPr>
                <w:rFonts w:eastAsia="Times New Roman" w:cs="Arial"/>
                <w:b/>
                <w:bCs/>
                <w:color w:val="000000"/>
                <w:sz w:val="18"/>
                <w:szCs w:val="18"/>
                <w:u w:val="single"/>
                <w:lang w:eastAsia="nl-NL"/>
              </w:rPr>
              <w:t>Lasten</w:t>
            </w:r>
          </w:p>
        </w:tc>
        <w:tc>
          <w:tcPr>
            <w:tcW w:w="63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b/>
                <w:bCs/>
                <w:color w:val="000000"/>
                <w:sz w:val="20"/>
                <w:szCs w:val="20"/>
                <w:lang w:eastAsia="nl-NL"/>
              </w:rPr>
            </w:pPr>
          </w:p>
        </w:tc>
        <w:tc>
          <w:tcPr>
            <w:tcW w:w="12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b/>
                <w:bCs/>
                <w:color w:val="000000"/>
                <w:sz w:val="20"/>
                <w:szCs w:val="20"/>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WMO</w:t>
            </w:r>
          </w:p>
        </w:tc>
        <w:tc>
          <w:tcPr>
            <w:tcW w:w="63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b/>
                <w:bCs/>
                <w:color w:val="000000"/>
                <w:sz w:val="20"/>
                <w:szCs w:val="20"/>
                <w:lang w:eastAsia="nl-NL"/>
              </w:rPr>
            </w:pPr>
          </w:p>
        </w:tc>
        <w:tc>
          <w:tcPr>
            <w:tcW w:w="12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r>
      <w:tr w:rsidR="002A5FB8" w:rsidRPr="008B7A49" w:rsidTr="00380A06">
        <w:trPr>
          <w:trHeight w:val="837"/>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center"/>
            <w:hideMark/>
          </w:tcPr>
          <w:p w:rsidR="002A5FB8" w:rsidRPr="008B7A49" w:rsidRDefault="002A5FB8" w:rsidP="002C241A">
            <w:pPr>
              <w:rPr>
                <w:rFonts w:eastAsia="Times New Roman" w:cs="Arial"/>
                <w:color w:val="000000"/>
                <w:sz w:val="18"/>
                <w:szCs w:val="18"/>
                <w:lang w:eastAsia="nl-NL"/>
              </w:rPr>
            </w:pPr>
            <w:r w:rsidRPr="008B7A49">
              <w:rPr>
                <w:rFonts w:eastAsia="Times New Roman" w:cs="Arial"/>
                <w:color w:val="000000"/>
                <w:sz w:val="18"/>
                <w:szCs w:val="18"/>
                <w:lang w:eastAsia="nl-NL"/>
              </w:rPr>
              <w:t>63900/42310</w:t>
            </w:r>
          </w:p>
        </w:tc>
        <w:tc>
          <w:tcPr>
            <w:tcW w:w="6380" w:type="dxa"/>
            <w:tcBorders>
              <w:top w:val="nil"/>
              <w:left w:val="nil"/>
              <w:bottom w:val="nil"/>
              <w:right w:val="nil"/>
            </w:tcBorders>
            <w:shd w:val="clear" w:color="auto" w:fill="auto"/>
            <w:hideMark/>
          </w:tcPr>
          <w:p w:rsidR="002A5FB8" w:rsidRPr="0095688B" w:rsidRDefault="002A5FB8" w:rsidP="002C241A">
            <w:pPr>
              <w:rPr>
                <w:rFonts w:eastAsia="Times New Roman" w:cs="Arial"/>
                <w:bCs/>
                <w:color w:val="000000"/>
                <w:sz w:val="18"/>
                <w:szCs w:val="18"/>
                <w:lang w:eastAsia="nl-NL"/>
              </w:rPr>
            </w:pPr>
            <w:r w:rsidRPr="0095688B">
              <w:rPr>
                <w:rFonts w:eastAsia="Times New Roman" w:cs="Arial"/>
                <w:bCs/>
                <w:color w:val="000000"/>
                <w:sz w:val="18"/>
                <w:szCs w:val="18"/>
                <w:lang w:eastAsia="nl-NL"/>
              </w:rPr>
              <w:t xml:space="preserve">Op jaarbasis ramen we twee grote woningaanpassingen. Er is één aanpassing onderweg maar de vraag is of deze op 2018 drukt. Een andere ligt bij de </w:t>
            </w:r>
            <w:proofErr w:type="spellStart"/>
            <w:r w:rsidRPr="0095688B">
              <w:rPr>
                <w:rFonts w:eastAsia="Times New Roman" w:cs="Arial"/>
                <w:bCs/>
                <w:color w:val="000000"/>
                <w:sz w:val="18"/>
                <w:szCs w:val="18"/>
                <w:lang w:eastAsia="nl-NL"/>
              </w:rPr>
              <w:t>CRvB</w:t>
            </w:r>
            <w:proofErr w:type="spellEnd"/>
            <w:r w:rsidRPr="0095688B">
              <w:rPr>
                <w:rFonts w:eastAsia="Times New Roman" w:cs="Arial"/>
                <w:bCs/>
                <w:color w:val="000000"/>
                <w:sz w:val="18"/>
                <w:szCs w:val="18"/>
                <w:lang w:eastAsia="nl-NL"/>
              </w:rPr>
              <w:t xml:space="preserve">, mogelijk dat we daar wel kosten aan gaan maken. Momenteel is aannemelijk dat we </w:t>
            </w:r>
            <w:proofErr w:type="spellStart"/>
            <w:r w:rsidRPr="0095688B">
              <w:rPr>
                <w:rFonts w:eastAsia="Times New Roman" w:cs="Arial"/>
                <w:bCs/>
                <w:color w:val="000000"/>
                <w:sz w:val="18"/>
                <w:szCs w:val="18"/>
                <w:lang w:eastAsia="nl-NL"/>
              </w:rPr>
              <w:t>onderbenutten</w:t>
            </w:r>
            <w:proofErr w:type="spellEnd"/>
            <w:r w:rsidRPr="0095688B">
              <w:rPr>
                <w:rFonts w:eastAsia="Times New Roman" w:cs="Arial"/>
                <w:bCs/>
                <w:color w:val="000000"/>
                <w:sz w:val="18"/>
                <w:szCs w:val="18"/>
                <w:lang w:eastAsia="nl-NL"/>
              </w:rPr>
              <w:t>.</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40.000</w:t>
            </w:r>
          </w:p>
        </w:tc>
      </w:tr>
      <w:tr w:rsidR="002A5FB8" w:rsidRPr="008B7A49" w:rsidTr="00380A06">
        <w:trPr>
          <w:trHeight w:val="480"/>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center"/>
            <w:hideMark/>
          </w:tcPr>
          <w:p w:rsidR="002A5FB8" w:rsidRPr="008B7A49" w:rsidRDefault="002A5FB8" w:rsidP="002C241A">
            <w:pPr>
              <w:rPr>
                <w:rFonts w:eastAsia="Times New Roman" w:cs="Arial"/>
                <w:color w:val="000000"/>
                <w:sz w:val="18"/>
                <w:szCs w:val="18"/>
                <w:lang w:eastAsia="nl-NL"/>
              </w:rPr>
            </w:pPr>
            <w:r w:rsidRPr="008B7A49">
              <w:rPr>
                <w:rFonts w:eastAsia="Times New Roman" w:cs="Arial"/>
                <w:color w:val="000000"/>
                <w:sz w:val="18"/>
                <w:szCs w:val="18"/>
                <w:lang w:eastAsia="nl-NL"/>
              </w:rPr>
              <w:t>64000/42310</w:t>
            </w:r>
          </w:p>
        </w:tc>
        <w:tc>
          <w:tcPr>
            <w:tcW w:w="6380" w:type="dxa"/>
            <w:tcBorders>
              <w:top w:val="nil"/>
              <w:left w:val="nil"/>
              <w:bottom w:val="nil"/>
              <w:right w:val="nil"/>
            </w:tcBorders>
            <w:shd w:val="clear" w:color="auto" w:fill="auto"/>
            <w:vAlign w:val="bottom"/>
            <w:hideMark/>
          </w:tcPr>
          <w:p w:rsidR="002A5FB8" w:rsidRPr="0095688B" w:rsidRDefault="002A5FB8" w:rsidP="002A5FB8">
            <w:pPr>
              <w:rPr>
                <w:rFonts w:eastAsia="Times New Roman" w:cs="Arial"/>
                <w:bCs/>
                <w:color w:val="000000"/>
                <w:sz w:val="18"/>
                <w:szCs w:val="18"/>
                <w:lang w:eastAsia="nl-NL"/>
              </w:rPr>
            </w:pPr>
            <w:r w:rsidRPr="0095688B">
              <w:rPr>
                <w:rFonts w:eastAsia="Times New Roman" w:cs="Arial"/>
                <w:bCs/>
                <w:color w:val="000000"/>
                <w:sz w:val="18"/>
                <w:szCs w:val="18"/>
                <w:lang w:eastAsia="nl-NL"/>
              </w:rPr>
              <w:t xml:space="preserve">Voordeel: de uitgaven van hulp bij het huishouden zijn de laatste twee jaar lager. Het is aannemelijk dat dit ook voor 2018 geldt. </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140.000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140.000</w:t>
            </w:r>
          </w:p>
        </w:tc>
      </w:tr>
      <w:tr w:rsidR="00FD4939" w:rsidRPr="008B7A49" w:rsidTr="00380A06">
        <w:trPr>
          <w:trHeight w:val="255"/>
        </w:trPr>
        <w:tc>
          <w:tcPr>
            <w:tcW w:w="554" w:type="dxa"/>
            <w:tcBorders>
              <w:top w:val="nil"/>
              <w:left w:val="nil"/>
              <w:bottom w:val="nil"/>
              <w:right w:val="nil"/>
            </w:tcBorders>
            <w:shd w:val="clear" w:color="auto" w:fill="auto"/>
            <w:noWrap/>
            <w:vAlign w:val="bottom"/>
          </w:tcPr>
          <w:p w:rsidR="00FD4939" w:rsidRPr="008B7A49" w:rsidRDefault="00FD4939"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tcPr>
          <w:p w:rsidR="00FD4939" w:rsidRPr="002C241A" w:rsidRDefault="00FD4939" w:rsidP="00FD4939">
            <w:pPr>
              <w:ind w:firstLineChars="100" w:firstLine="181"/>
              <w:rPr>
                <w:rFonts w:eastAsia="Times New Roman" w:cs="Arial"/>
                <w:b/>
                <w:bCs/>
                <w:color w:val="000000"/>
                <w:sz w:val="18"/>
                <w:szCs w:val="18"/>
                <w:lang w:eastAsia="nl-NL"/>
              </w:rPr>
            </w:pPr>
            <w:r w:rsidRPr="00FD4939">
              <w:rPr>
                <w:rFonts w:eastAsia="Times New Roman" w:cs="Arial"/>
                <w:b/>
                <w:bCs/>
                <w:color w:val="000000"/>
                <w:sz w:val="18"/>
                <w:szCs w:val="18"/>
                <w:lang w:eastAsia="nl-NL"/>
              </w:rPr>
              <w:t>Jeugdzorg</w:t>
            </w:r>
          </w:p>
        </w:tc>
        <w:tc>
          <w:tcPr>
            <w:tcW w:w="6380" w:type="dxa"/>
            <w:tcBorders>
              <w:top w:val="nil"/>
              <w:left w:val="nil"/>
              <w:bottom w:val="nil"/>
              <w:right w:val="nil"/>
            </w:tcBorders>
            <w:shd w:val="clear" w:color="auto" w:fill="auto"/>
            <w:noWrap/>
            <w:vAlign w:val="bottom"/>
          </w:tcPr>
          <w:p w:rsidR="00FD4939" w:rsidRPr="0095688B" w:rsidRDefault="00FD4939" w:rsidP="002A5FB8">
            <w:pPr>
              <w:rPr>
                <w:rFonts w:eastAsia="Times New Roman" w:cs="Arial"/>
                <w:bCs/>
                <w:color w:val="000000"/>
                <w:sz w:val="20"/>
                <w:szCs w:val="20"/>
                <w:lang w:eastAsia="nl-NL"/>
              </w:rPr>
            </w:pPr>
          </w:p>
        </w:tc>
        <w:tc>
          <w:tcPr>
            <w:tcW w:w="1280" w:type="dxa"/>
            <w:tcBorders>
              <w:top w:val="nil"/>
              <w:left w:val="nil"/>
              <w:bottom w:val="nil"/>
              <w:right w:val="nil"/>
            </w:tcBorders>
            <w:shd w:val="clear" w:color="auto" w:fill="auto"/>
            <w:noWrap/>
            <w:vAlign w:val="center"/>
          </w:tcPr>
          <w:p w:rsidR="00FD4939" w:rsidRPr="002C241A" w:rsidRDefault="00FD4939"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FD4939" w:rsidRPr="002C241A" w:rsidRDefault="00FD4939"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FD4939" w:rsidRPr="002C241A" w:rsidRDefault="00FD4939" w:rsidP="002C241A">
            <w:pPr>
              <w:jc w:val="right"/>
              <w:rPr>
                <w:rFonts w:eastAsia="Times New Roman" w:cs="Arial"/>
                <w:color w:val="000000"/>
                <w:sz w:val="18"/>
                <w:szCs w:val="18"/>
                <w:lang w:eastAsia="nl-NL"/>
              </w:rPr>
            </w:pPr>
          </w:p>
        </w:tc>
      </w:tr>
      <w:tr w:rsidR="00FD4939" w:rsidRPr="008B7A49" w:rsidTr="00FD4939">
        <w:trPr>
          <w:trHeight w:val="255"/>
        </w:trPr>
        <w:tc>
          <w:tcPr>
            <w:tcW w:w="554" w:type="dxa"/>
            <w:tcBorders>
              <w:top w:val="nil"/>
              <w:left w:val="nil"/>
              <w:bottom w:val="nil"/>
              <w:right w:val="nil"/>
            </w:tcBorders>
            <w:shd w:val="clear" w:color="auto" w:fill="auto"/>
            <w:noWrap/>
            <w:vAlign w:val="bottom"/>
          </w:tcPr>
          <w:p w:rsidR="00FD4939" w:rsidRPr="008B7A49" w:rsidRDefault="00FD4939"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tcPr>
          <w:p w:rsidR="00FD4939" w:rsidRPr="002C241A" w:rsidRDefault="00FD4939" w:rsidP="002C241A">
            <w:pPr>
              <w:ind w:firstLineChars="100" w:firstLine="181"/>
              <w:rPr>
                <w:rFonts w:eastAsia="Times New Roman" w:cs="Arial"/>
                <w:b/>
                <w:bCs/>
                <w:color w:val="000000"/>
                <w:sz w:val="18"/>
                <w:szCs w:val="18"/>
                <w:lang w:eastAsia="nl-NL"/>
              </w:rPr>
            </w:pPr>
          </w:p>
        </w:tc>
        <w:tc>
          <w:tcPr>
            <w:tcW w:w="2237" w:type="dxa"/>
            <w:gridSpan w:val="2"/>
            <w:tcBorders>
              <w:top w:val="nil"/>
              <w:left w:val="nil"/>
              <w:bottom w:val="nil"/>
              <w:right w:val="nil"/>
            </w:tcBorders>
            <w:shd w:val="clear" w:color="auto" w:fill="auto"/>
            <w:vAlign w:val="center"/>
          </w:tcPr>
          <w:p w:rsidR="00FD4939" w:rsidRPr="002C241A" w:rsidRDefault="00FD4939" w:rsidP="00FD4939">
            <w:pPr>
              <w:rPr>
                <w:rFonts w:eastAsia="Times New Roman" w:cs="Arial"/>
                <w:b/>
                <w:bCs/>
                <w:color w:val="000000"/>
                <w:sz w:val="18"/>
                <w:szCs w:val="18"/>
                <w:lang w:eastAsia="nl-NL"/>
              </w:rPr>
            </w:pPr>
            <w:r>
              <w:rPr>
                <w:rFonts w:eastAsia="Times New Roman" w:cs="Arial"/>
                <w:color w:val="000000"/>
                <w:sz w:val="18"/>
                <w:szCs w:val="18"/>
                <w:lang w:eastAsia="nl-NL"/>
              </w:rPr>
              <w:t>64810/42310</w:t>
            </w:r>
          </w:p>
        </w:tc>
        <w:tc>
          <w:tcPr>
            <w:tcW w:w="6380" w:type="dxa"/>
            <w:tcBorders>
              <w:top w:val="nil"/>
              <w:left w:val="nil"/>
              <w:bottom w:val="nil"/>
              <w:right w:val="nil"/>
            </w:tcBorders>
            <w:shd w:val="clear" w:color="auto" w:fill="auto"/>
            <w:noWrap/>
            <w:vAlign w:val="bottom"/>
          </w:tcPr>
          <w:p w:rsidR="00FD4939" w:rsidRPr="00FD4939" w:rsidRDefault="00FD4939" w:rsidP="002A5FB8">
            <w:pPr>
              <w:rPr>
                <w:rFonts w:eastAsia="Times New Roman" w:cs="Arial"/>
                <w:bCs/>
                <w:color w:val="000000"/>
                <w:sz w:val="18"/>
                <w:szCs w:val="18"/>
                <w:lang w:eastAsia="nl-NL"/>
              </w:rPr>
            </w:pPr>
            <w:r w:rsidRPr="00FD4939">
              <w:rPr>
                <w:rFonts w:eastAsia="Times New Roman" w:cs="Arial"/>
                <w:bCs/>
                <w:color w:val="000000"/>
                <w:sz w:val="18"/>
                <w:szCs w:val="18"/>
                <w:lang w:eastAsia="nl-NL"/>
              </w:rPr>
              <w:t>Tekort op jeugdhulp. Zie ook de mededeling aan de raad over de ontwikkelingen Jeugdhulp van 18 september 2018.</w:t>
            </w:r>
          </w:p>
        </w:tc>
        <w:tc>
          <w:tcPr>
            <w:tcW w:w="1280" w:type="dxa"/>
            <w:tcBorders>
              <w:top w:val="nil"/>
              <w:left w:val="nil"/>
              <w:bottom w:val="nil"/>
              <w:right w:val="nil"/>
            </w:tcBorders>
            <w:shd w:val="clear" w:color="auto" w:fill="auto"/>
            <w:noWrap/>
            <w:vAlign w:val="center"/>
          </w:tcPr>
          <w:p w:rsidR="00FD4939" w:rsidRPr="002C241A" w:rsidRDefault="00FD4939" w:rsidP="002C241A">
            <w:pPr>
              <w:jc w:val="right"/>
              <w:rPr>
                <w:rFonts w:eastAsia="Times New Roman" w:cs="Arial"/>
                <w:color w:val="000000"/>
                <w:sz w:val="18"/>
                <w:szCs w:val="18"/>
                <w:lang w:eastAsia="nl-NL"/>
              </w:rPr>
            </w:pPr>
            <w:r>
              <w:rPr>
                <w:rFonts w:eastAsia="Times New Roman" w:cs="Arial"/>
                <w:color w:val="000000"/>
                <w:sz w:val="18"/>
                <w:szCs w:val="18"/>
                <w:lang w:eastAsia="nl-NL"/>
              </w:rPr>
              <w:t>-1.750.000</w:t>
            </w:r>
          </w:p>
        </w:tc>
        <w:tc>
          <w:tcPr>
            <w:tcW w:w="1340" w:type="dxa"/>
            <w:tcBorders>
              <w:top w:val="nil"/>
              <w:left w:val="nil"/>
              <w:bottom w:val="nil"/>
              <w:right w:val="nil"/>
            </w:tcBorders>
            <w:shd w:val="clear" w:color="auto" w:fill="auto"/>
            <w:noWrap/>
            <w:vAlign w:val="center"/>
          </w:tcPr>
          <w:p w:rsidR="00FD4939" w:rsidRPr="002C241A" w:rsidRDefault="00FD4939" w:rsidP="002C241A">
            <w:pPr>
              <w:jc w:val="right"/>
              <w:rPr>
                <w:rFonts w:eastAsia="Times New Roman" w:cs="Arial"/>
                <w:color w:val="000000"/>
                <w:sz w:val="18"/>
                <w:szCs w:val="18"/>
                <w:lang w:eastAsia="nl-NL"/>
              </w:rPr>
            </w:pPr>
            <w:r>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tcPr>
          <w:p w:rsidR="00FD4939" w:rsidRPr="002C241A" w:rsidRDefault="00FD4939" w:rsidP="002C241A">
            <w:pPr>
              <w:jc w:val="right"/>
              <w:rPr>
                <w:rFonts w:eastAsia="Times New Roman" w:cs="Arial"/>
                <w:color w:val="000000"/>
                <w:sz w:val="18"/>
                <w:szCs w:val="18"/>
                <w:lang w:eastAsia="nl-NL"/>
              </w:rPr>
            </w:pPr>
            <w:r>
              <w:rPr>
                <w:rFonts w:eastAsia="Times New Roman" w:cs="Arial"/>
                <w:color w:val="000000"/>
                <w:sz w:val="18"/>
                <w:szCs w:val="18"/>
                <w:lang w:eastAsia="nl-NL"/>
              </w:rPr>
              <w:t>-1.750.000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 xml:space="preserve">Participatie  </w:t>
            </w:r>
          </w:p>
        </w:tc>
        <w:tc>
          <w:tcPr>
            <w:tcW w:w="6380" w:type="dxa"/>
            <w:tcBorders>
              <w:top w:val="nil"/>
              <w:left w:val="nil"/>
              <w:bottom w:val="nil"/>
              <w:right w:val="nil"/>
            </w:tcBorders>
            <w:shd w:val="clear" w:color="auto" w:fill="auto"/>
            <w:noWrap/>
            <w:vAlign w:val="bottom"/>
            <w:hideMark/>
          </w:tcPr>
          <w:p w:rsidR="002A5FB8" w:rsidRPr="0095688B" w:rsidRDefault="002A5FB8" w:rsidP="002A5FB8">
            <w:pPr>
              <w:rPr>
                <w:rFonts w:eastAsia="Times New Roman" w:cs="Arial"/>
                <w:bCs/>
                <w:color w:val="000000"/>
                <w:sz w:val="20"/>
                <w:szCs w:val="20"/>
                <w:lang w:eastAsia="nl-NL"/>
              </w:rPr>
            </w:pP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480"/>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center"/>
            <w:hideMark/>
          </w:tcPr>
          <w:p w:rsidR="002A5FB8" w:rsidRPr="008B7A49" w:rsidRDefault="002A5FB8" w:rsidP="002C241A">
            <w:pPr>
              <w:rPr>
                <w:rFonts w:eastAsia="Times New Roman" w:cs="Arial"/>
                <w:color w:val="000000"/>
                <w:sz w:val="18"/>
                <w:szCs w:val="18"/>
                <w:lang w:eastAsia="nl-NL"/>
              </w:rPr>
            </w:pPr>
            <w:r w:rsidRPr="008B7A49">
              <w:rPr>
                <w:rFonts w:eastAsia="Times New Roman" w:cs="Arial"/>
                <w:color w:val="000000"/>
                <w:sz w:val="18"/>
                <w:szCs w:val="18"/>
                <w:lang w:eastAsia="nl-NL"/>
              </w:rPr>
              <w:t>63300/42400</w:t>
            </w:r>
          </w:p>
        </w:tc>
        <w:tc>
          <w:tcPr>
            <w:tcW w:w="6380" w:type="dxa"/>
            <w:tcBorders>
              <w:top w:val="nil"/>
              <w:left w:val="nil"/>
              <w:bottom w:val="nil"/>
              <w:right w:val="nil"/>
            </w:tcBorders>
            <w:shd w:val="clear" w:color="auto" w:fill="auto"/>
            <w:vAlign w:val="bottom"/>
            <w:hideMark/>
          </w:tcPr>
          <w:p w:rsidR="002A5FB8" w:rsidRPr="0095688B" w:rsidRDefault="002A5FB8" w:rsidP="002A5FB8">
            <w:pPr>
              <w:rPr>
                <w:rFonts w:eastAsia="Times New Roman" w:cs="Arial"/>
                <w:bCs/>
                <w:color w:val="000000"/>
                <w:sz w:val="18"/>
                <w:szCs w:val="18"/>
                <w:lang w:eastAsia="nl-NL"/>
              </w:rPr>
            </w:pPr>
            <w:r w:rsidRPr="0095688B">
              <w:rPr>
                <w:rFonts w:eastAsia="Times New Roman" w:cs="Arial"/>
                <w:bCs/>
                <w:color w:val="000000"/>
                <w:sz w:val="18"/>
                <w:szCs w:val="18"/>
                <w:lang w:eastAsia="nl-NL"/>
              </w:rPr>
              <w:t>Nadeel i</w:t>
            </w:r>
            <w:r w:rsidR="002C241A">
              <w:rPr>
                <w:rFonts w:eastAsia="Times New Roman" w:cs="Arial"/>
                <w:bCs/>
                <w:color w:val="000000"/>
                <w:sz w:val="18"/>
                <w:szCs w:val="18"/>
                <w:lang w:eastAsia="nl-NL"/>
              </w:rPr>
              <w:t>.</w:t>
            </w:r>
            <w:r w:rsidRPr="0095688B">
              <w:rPr>
                <w:rFonts w:eastAsia="Times New Roman" w:cs="Arial"/>
                <w:bCs/>
                <w:color w:val="000000"/>
                <w:sz w:val="18"/>
                <w:szCs w:val="18"/>
                <w:lang w:eastAsia="nl-NL"/>
              </w:rPr>
              <w:t>v</w:t>
            </w:r>
            <w:r w:rsidR="002C241A">
              <w:rPr>
                <w:rFonts w:eastAsia="Times New Roman" w:cs="Arial"/>
                <w:bCs/>
                <w:color w:val="000000"/>
                <w:sz w:val="18"/>
                <w:szCs w:val="18"/>
                <w:lang w:eastAsia="nl-NL"/>
              </w:rPr>
              <w:t>.</w:t>
            </w:r>
            <w:r w:rsidRPr="0095688B">
              <w:rPr>
                <w:rFonts w:eastAsia="Times New Roman" w:cs="Arial"/>
                <w:bCs/>
                <w:color w:val="000000"/>
                <w:sz w:val="18"/>
                <w:szCs w:val="18"/>
                <w:lang w:eastAsia="nl-NL"/>
              </w:rPr>
              <w:t>m</w:t>
            </w:r>
            <w:r w:rsidR="002C241A">
              <w:rPr>
                <w:rFonts w:eastAsia="Times New Roman" w:cs="Arial"/>
                <w:bCs/>
                <w:color w:val="000000"/>
                <w:sz w:val="18"/>
                <w:szCs w:val="18"/>
                <w:lang w:eastAsia="nl-NL"/>
              </w:rPr>
              <w:t>.</w:t>
            </w:r>
            <w:r w:rsidRPr="0095688B">
              <w:rPr>
                <w:rFonts w:eastAsia="Times New Roman" w:cs="Arial"/>
                <w:bCs/>
                <w:color w:val="000000"/>
                <w:sz w:val="18"/>
                <w:szCs w:val="18"/>
                <w:lang w:eastAsia="nl-NL"/>
              </w:rPr>
              <w:t xml:space="preserve"> begrotingswijziging GR SW (zie raadsvoorstel 25 september 2018)</w:t>
            </w:r>
            <w:r w:rsidR="001A198E">
              <w:rPr>
                <w:rFonts w:eastAsia="Times New Roman" w:cs="Arial"/>
                <w:bCs/>
                <w:color w:val="000000"/>
                <w:sz w:val="18"/>
                <w:szCs w:val="18"/>
                <w:lang w:eastAsia="nl-NL"/>
              </w:rPr>
              <w:t>.</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-131.000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-131.000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u w:val="single"/>
                <w:lang w:eastAsia="nl-NL"/>
              </w:rPr>
            </w:pPr>
            <w:r w:rsidRPr="002C241A">
              <w:rPr>
                <w:rFonts w:eastAsia="Times New Roman" w:cs="Arial"/>
                <w:b/>
                <w:bCs/>
                <w:color w:val="000000"/>
                <w:sz w:val="18"/>
                <w:szCs w:val="18"/>
                <w:u w:val="single"/>
                <w:lang w:eastAsia="nl-NL"/>
              </w:rPr>
              <w:t>Baten</w:t>
            </w:r>
          </w:p>
        </w:tc>
        <w:tc>
          <w:tcPr>
            <w:tcW w:w="6380" w:type="dxa"/>
            <w:tcBorders>
              <w:top w:val="nil"/>
              <w:left w:val="nil"/>
              <w:bottom w:val="nil"/>
              <w:right w:val="nil"/>
            </w:tcBorders>
            <w:shd w:val="clear" w:color="auto" w:fill="auto"/>
            <w:noWrap/>
            <w:vAlign w:val="bottom"/>
            <w:hideMark/>
          </w:tcPr>
          <w:p w:rsidR="002A5FB8" w:rsidRPr="0095688B" w:rsidRDefault="002A5FB8" w:rsidP="002A5FB8">
            <w:pPr>
              <w:rPr>
                <w:rFonts w:eastAsia="Times New Roman" w:cs="Arial"/>
                <w:bCs/>
                <w:color w:val="000000"/>
                <w:sz w:val="20"/>
                <w:szCs w:val="20"/>
                <w:lang w:eastAsia="nl-NL"/>
              </w:rPr>
            </w:pP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WMO</w:t>
            </w:r>
          </w:p>
        </w:tc>
        <w:tc>
          <w:tcPr>
            <w:tcW w:w="6380" w:type="dxa"/>
            <w:tcBorders>
              <w:top w:val="nil"/>
              <w:left w:val="nil"/>
              <w:bottom w:val="nil"/>
              <w:right w:val="nil"/>
            </w:tcBorders>
            <w:shd w:val="clear" w:color="auto" w:fill="auto"/>
            <w:noWrap/>
            <w:vAlign w:val="bottom"/>
            <w:hideMark/>
          </w:tcPr>
          <w:p w:rsidR="002A5FB8" w:rsidRPr="0095688B" w:rsidRDefault="002A5FB8" w:rsidP="002A5FB8">
            <w:pPr>
              <w:rPr>
                <w:rFonts w:eastAsia="Times New Roman" w:cs="Arial"/>
                <w:bCs/>
                <w:color w:val="000000"/>
                <w:sz w:val="20"/>
                <w:szCs w:val="20"/>
                <w:lang w:eastAsia="nl-NL"/>
              </w:rPr>
            </w:pP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392"/>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center"/>
            <w:hideMark/>
          </w:tcPr>
          <w:p w:rsidR="002A5FB8" w:rsidRPr="008B7A49" w:rsidRDefault="002A5FB8" w:rsidP="002C241A">
            <w:pPr>
              <w:rPr>
                <w:rFonts w:eastAsia="Times New Roman" w:cs="Arial"/>
                <w:color w:val="000000"/>
                <w:sz w:val="18"/>
                <w:szCs w:val="18"/>
                <w:lang w:eastAsia="nl-NL"/>
              </w:rPr>
            </w:pPr>
            <w:r w:rsidRPr="008B7A49">
              <w:rPr>
                <w:rFonts w:eastAsia="Times New Roman" w:cs="Arial"/>
                <w:color w:val="000000"/>
                <w:sz w:val="18"/>
                <w:szCs w:val="18"/>
                <w:lang w:eastAsia="nl-NL"/>
              </w:rPr>
              <w:t>64200/42130</w:t>
            </w:r>
          </w:p>
        </w:tc>
        <w:tc>
          <w:tcPr>
            <w:tcW w:w="6380" w:type="dxa"/>
            <w:tcBorders>
              <w:top w:val="nil"/>
              <w:left w:val="nil"/>
              <w:bottom w:val="nil"/>
              <w:right w:val="nil"/>
            </w:tcBorders>
            <w:shd w:val="clear" w:color="auto" w:fill="auto"/>
            <w:hideMark/>
          </w:tcPr>
          <w:p w:rsidR="002A5FB8" w:rsidRPr="0095688B" w:rsidRDefault="002A5FB8" w:rsidP="00B22A8F">
            <w:pPr>
              <w:rPr>
                <w:rFonts w:eastAsia="Times New Roman" w:cs="Arial"/>
                <w:bCs/>
                <w:color w:val="000000"/>
                <w:sz w:val="18"/>
                <w:szCs w:val="18"/>
                <w:lang w:eastAsia="nl-NL"/>
              </w:rPr>
            </w:pPr>
            <w:r w:rsidRPr="0095688B">
              <w:rPr>
                <w:rFonts w:eastAsia="Times New Roman" w:cs="Arial"/>
                <w:bCs/>
                <w:color w:val="000000"/>
                <w:sz w:val="18"/>
                <w:szCs w:val="18"/>
                <w:lang w:eastAsia="nl-NL"/>
              </w:rPr>
              <w:t xml:space="preserve">Gelet op de ontwikkeling van de eigen bijdragen maatwerkvoorzieningen en opvang </w:t>
            </w:r>
            <w:proofErr w:type="spellStart"/>
            <w:r w:rsidRPr="0095688B">
              <w:rPr>
                <w:rFonts w:eastAsia="Times New Roman" w:cs="Arial"/>
                <w:bCs/>
                <w:color w:val="000000"/>
                <w:sz w:val="18"/>
                <w:szCs w:val="18"/>
                <w:lang w:eastAsia="nl-NL"/>
              </w:rPr>
              <w:t>Wmo</w:t>
            </w:r>
            <w:proofErr w:type="spellEnd"/>
            <w:r w:rsidRPr="0095688B">
              <w:rPr>
                <w:rFonts w:eastAsia="Times New Roman" w:cs="Arial"/>
                <w:bCs/>
                <w:color w:val="000000"/>
                <w:sz w:val="18"/>
                <w:szCs w:val="18"/>
                <w:lang w:eastAsia="nl-NL"/>
              </w:rPr>
              <w:t xml:space="preserve"> in 2018 tot nog toe, is het r</w:t>
            </w:r>
            <w:r w:rsidR="001A198E">
              <w:rPr>
                <w:rFonts w:eastAsia="Times New Roman" w:cs="Arial"/>
                <w:bCs/>
                <w:color w:val="000000"/>
                <w:sz w:val="18"/>
                <w:szCs w:val="18"/>
                <w:lang w:eastAsia="nl-NL"/>
              </w:rPr>
              <w:t xml:space="preserve">eëel minder inkomsten te ramen. </w:t>
            </w:r>
            <w:r w:rsidR="001A198E" w:rsidRPr="001A198E">
              <w:rPr>
                <w:rFonts w:eastAsia="Times New Roman" w:cs="Arial"/>
                <w:bCs/>
                <w:color w:val="000000"/>
                <w:sz w:val="18"/>
                <w:szCs w:val="18"/>
                <w:lang w:eastAsia="nl-NL"/>
              </w:rPr>
              <w:t>De structurele gevolgen (inclusief nieuwe systematiek) zijn verwerkt in de primitieve begroting 2019.</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-80.000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-80.000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C241A" w:rsidP="002C241A">
            <w:pPr>
              <w:ind w:firstLineChars="100" w:firstLine="181"/>
              <w:rPr>
                <w:rFonts w:eastAsia="Times New Roman" w:cs="Arial"/>
                <w:b/>
                <w:bCs/>
                <w:color w:val="000000"/>
                <w:sz w:val="18"/>
                <w:szCs w:val="18"/>
                <w:lang w:eastAsia="nl-NL"/>
              </w:rPr>
            </w:pPr>
            <w:r>
              <w:rPr>
                <w:rFonts w:eastAsia="Times New Roman" w:cs="Arial"/>
                <w:b/>
                <w:bCs/>
                <w:color w:val="000000"/>
                <w:sz w:val="18"/>
                <w:szCs w:val="18"/>
                <w:lang w:eastAsia="nl-NL"/>
              </w:rPr>
              <w:t>Reserve</w:t>
            </w:r>
            <w:r w:rsidR="002A5FB8" w:rsidRPr="002C241A">
              <w:rPr>
                <w:rFonts w:eastAsia="Times New Roman" w:cs="Arial"/>
                <w:b/>
                <w:bCs/>
                <w:color w:val="000000"/>
                <w:sz w:val="18"/>
                <w:szCs w:val="18"/>
                <w:lang w:eastAsia="nl-NL"/>
              </w:rPr>
              <w:t>s programma 1</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603"/>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center"/>
            <w:hideMark/>
          </w:tcPr>
          <w:p w:rsidR="002A5FB8" w:rsidRPr="008B7A49" w:rsidRDefault="002A5FB8" w:rsidP="002C241A">
            <w:pPr>
              <w:rPr>
                <w:rFonts w:eastAsia="Times New Roman" w:cs="Arial"/>
                <w:color w:val="000000"/>
                <w:sz w:val="18"/>
                <w:szCs w:val="18"/>
                <w:lang w:eastAsia="nl-NL"/>
              </w:rPr>
            </w:pPr>
            <w:r w:rsidRPr="008B7A49">
              <w:rPr>
                <w:rFonts w:eastAsia="Times New Roman" w:cs="Arial"/>
                <w:color w:val="000000"/>
                <w:sz w:val="18"/>
                <w:szCs w:val="18"/>
                <w:lang w:eastAsia="nl-NL"/>
              </w:rPr>
              <w:t>68801/60001</w:t>
            </w:r>
          </w:p>
        </w:tc>
        <w:tc>
          <w:tcPr>
            <w:tcW w:w="6380" w:type="dxa"/>
            <w:tcBorders>
              <w:top w:val="nil"/>
              <w:left w:val="nil"/>
              <w:bottom w:val="nil"/>
              <w:right w:val="nil"/>
            </w:tcBorders>
            <w:shd w:val="clear" w:color="auto" w:fill="auto"/>
            <w:vAlign w:val="bottom"/>
            <w:hideMark/>
          </w:tcPr>
          <w:p w:rsidR="002A5FB8" w:rsidRPr="0095688B" w:rsidRDefault="002A5FB8" w:rsidP="0079593D">
            <w:pPr>
              <w:rPr>
                <w:rFonts w:eastAsia="Times New Roman" w:cs="Arial"/>
                <w:bCs/>
                <w:color w:val="000000"/>
                <w:sz w:val="18"/>
                <w:szCs w:val="18"/>
                <w:lang w:eastAsia="nl-NL"/>
              </w:rPr>
            </w:pPr>
            <w:r w:rsidRPr="0095688B">
              <w:rPr>
                <w:rFonts w:eastAsia="Times New Roman" w:cs="Arial"/>
                <w:bCs/>
                <w:color w:val="000000"/>
                <w:sz w:val="18"/>
                <w:szCs w:val="18"/>
                <w:lang w:eastAsia="nl-NL"/>
              </w:rPr>
              <w:t>Per saldo voordeel in Sociaal Domein</w:t>
            </w:r>
            <w:r w:rsidR="0079593D">
              <w:rPr>
                <w:rFonts w:eastAsia="Times New Roman" w:cs="Arial"/>
                <w:bCs/>
                <w:color w:val="000000"/>
                <w:sz w:val="18"/>
                <w:szCs w:val="18"/>
                <w:lang w:eastAsia="nl-NL"/>
              </w:rPr>
              <w:t>, dit betekent een lagere onttrekking uit</w:t>
            </w:r>
            <w:r w:rsidRPr="0095688B">
              <w:rPr>
                <w:rFonts w:eastAsia="Times New Roman" w:cs="Arial"/>
                <w:bCs/>
                <w:color w:val="000000"/>
                <w:sz w:val="18"/>
                <w:szCs w:val="18"/>
                <w:lang w:eastAsia="nl-NL"/>
              </w:rPr>
              <w:t xml:space="preserve"> de reserve Sociaal Domein (voordeel bij woningaanpassingen en hulp bij huishouden en nadeel door lagere eigen bijdrage)</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-100.000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-100.000</w:t>
            </w:r>
          </w:p>
        </w:tc>
      </w:tr>
      <w:tr w:rsidR="002A5FB8" w:rsidRPr="008B7A49" w:rsidTr="00380A06">
        <w:trPr>
          <w:trHeight w:val="255"/>
        </w:trPr>
        <w:tc>
          <w:tcPr>
            <w:tcW w:w="3345" w:type="dxa"/>
            <w:gridSpan w:val="4"/>
            <w:tcBorders>
              <w:top w:val="nil"/>
              <w:left w:val="nil"/>
              <w:bottom w:val="nil"/>
              <w:right w:val="nil"/>
            </w:tcBorders>
            <w:shd w:val="clear" w:color="B8CCE4" w:fill="B8CCE4"/>
            <w:noWrap/>
            <w:vAlign w:val="bottom"/>
            <w:hideMark/>
          </w:tcPr>
          <w:p w:rsidR="002A5FB8" w:rsidRPr="002C241A" w:rsidRDefault="002C241A" w:rsidP="002A5FB8">
            <w:pPr>
              <w:rPr>
                <w:rFonts w:eastAsia="Times New Roman" w:cs="Arial"/>
                <w:b/>
                <w:bCs/>
                <w:color w:val="000000"/>
                <w:sz w:val="18"/>
                <w:szCs w:val="18"/>
                <w:lang w:eastAsia="nl-NL"/>
              </w:rPr>
            </w:pPr>
            <w:r w:rsidRPr="002C241A">
              <w:rPr>
                <w:rFonts w:eastAsia="Times New Roman" w:cs="Arial"/>
                <w:b/>
                <w:bCs/>
                <w:color w:val="000000"/>
                <w:sz w:val="18"/>
                <w:szCs w:val="18"/>
                <w:lang w:eastAsia="nl-NL"/>
              </w:rPr>
              <w:t xml:space="preserve">Totaal </w:t>
            </w:r>
            <w:r w:rsidR="0093652A">
              <w:rPr>
                <w:rFonts w:eastAsia="Times New Roman" w:cs="Arial"/>
                <w:b/>
                <w:bCs/>
                <w:color w:val="000000"/>
                <w:sz w:val="18"/>
                <w:szCs w:val="18"/>
                <w:lang w:eastAsia="nl-NL"/>
              </w:rPr>
              <w:t xml:space="preserve">Programma </w:t>
            </w:r>
            <w:r w:rsidRPr="002C241A">
              <w:rPr>
                <w:rFonts w:eastAsia="Times New Roman" w:cs="Arial"/>
                <w:b/>
                <w:bCs/>
                <w:color w:val="000000"/>
                <w:sz w:val="18"/>
                <w:szCs w:val="18"/>
                <w:lang w:eastAsia="nl-NL"/>
              </w:rPr>
              <w:t>1. Sociaal</w:t>
            </w:r>
            <w:r w:rsidR="002A5FB8" w:rsidRPr="002C241A">
              <w:rPr>
                <w:rFonts w:eastAsia="Times New Roman" w:cs="Arial"/>
                <w:b/>
                <w:bCs/>
                <w:color w:val="000000"/>
                <w:sz w:val="18"/>
                <w:szCs w:val="18"/>
                <w:lang w:eastAsia="nl-NL"/>
              </w:rPr>
              <w:t xml:space="preserve"> Domein</w:t>
            </w:r>
          </w:p>
        </w:tc>
        <w:tc>
          <w:tcPr>
            <w:tcW w:w="6380" w:type="dxa"/>
            <w:tcBorders>
              <w:top w:val="nil"/>
              <w:left w:val="nil"/>
              <w:bottom w:val="nil"/>
              <w:right w:val="nil"/>
            </w:tcBorders>
            <w:shd w:val="clear" w:color="B8CCE4" w:fill="B8CCE4"/>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B8CCE4" w:fill="B8CCE4"/>
            <w:noWrap/>
            <w:vAlign w:val="center"/>
            <w:hideMark/>
          </w:tcPr>
          <w:p w:rsidR="002A5FB8" w:rsidRPr="002C241A" w:rsidRDefault="002A5FB8" w:rsidP="002C241A">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w:t>
            </w:r>
            <w:r w:rsidR="00FD4939">
              <w:rPr>
                <w:rFonts w:eastAsia="Times New Roman" w:cs="Arial"/>
                <w:b/>
                <w:bCs/>
                <w:color w:val="000000"/>
                <w:sz w:val="18"/>
                <w:szCs w:val="18"/>
                <w:lang w:eastAsia="nl-NL"/>
              </w:rPr>
              <w:t>1.88</w:t>
            </w:r>
            <w:r w:rsidRPr="002C241A">
              <w:rPr>
                <w:rFonts w:eastAsia="Times New Roman" w:cs="Arial"/>
                <w:b/>
                <w:bCs/>
                <w:color w:val="000000"/>
                <w:sz w:val="18"/>
                <w:szCs w:val="18"/>
                <w:lang w:eastAsia="nl-NL"/>
              </w:rPr>
              <w:t>1.000</w:t>
            </w:r>
          </w:p>
        </w:tc>
        <w:tc>
          <w:tcPr>
            <w:tcW w:w="1340" w:type="dxa"/>
            <w:tcBorders>
              <w:top w:val="nil"/>
              <w:left w:val="nil"/>
              <w:bottom w:val="nil"/>
              <w:right w:val="nil"/>
            </w:tcBorders>
            <w:shd w:val="clear" w:color="B8CCE4" w:fill="B8CCE4"/>
            <w:noWrap/>
            <w:vAlign w:val="center"/>
            <w:hideMark/>
          </w:tcPr>
          <w:p w:rsidR="002A5FB8" w:rsidRPr="002C241A" w:rsidRDefault="002A5FB8" w:rsidP="002C241A">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0</w:t>
            </w:r>
          </w:p>
        </w:tc>
        <w:tc>
          <w:tcPr>
            <w:tcW w:w="1340" w:type="dxa"/>
            <w:tcBorders>
              <w:top w:val="nil"/>
              <w:left w:val="nil"/>
              <w:bottom w:val="nil"/>
              <w:right w:val="nil"/>
            </w:tcBorders>
            <w:shd w:val="clear" w:color="B8CCE4" w:fill="B8CCE4"/>
            <w:noWrap/>
            <w:vAlign w:val="center"/>
            <w:hideMark/>
          </w:tcPr>
          <w:p w:rsidR="002A5FB8" w:rsidRPr="002C241A" w:rsidRDefault="002A5FB8" w:rsidP="002C241A">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w:t>
            </w:r>
            <w:r w:rsidR="00FD4939">
              <w:rPr>
                <w:rFonts w:eastAsia="Times New Roman" w:cs="Arial"/>
                <w:b/>
                <w:bCs/>
                <w:color w:val="000000"/>
                <w:sz w:val="18"/>
                <w:szCs w:val="18"/>
                <w:lang w:eastAsia="nl-NL"/>
              </w:rPr>
              <w:t>1.881</w:t>
            </w:r>
            <w:r w:rsidRPr="002C241A">
              <w:rPr>
                <w:rFonts w:eastAsia="Times New Roman" w:cs="Arial"/>
                <w:b/>
                <w:bCs/>
                <w:color w:val="000000"/>
                <w:sz w:val="18"/>
                <w:szCs w:val="18"/>
                <w:lang w:eastAsia="nl-NL"/>
              </w:rPr>
              <w:t>.000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63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2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r>
      <w:tr w:rsidR="002A5FB8" w:rsidRPr="008B7A49" w:rsidTr="00380A06">
        <w:trPr>
          <w:trHeight w:val="255"/>
        </w:trPr>
        <w:tc>
          <w:tcPr>
            <w:tcW w:w="3345" w:type="dxa"/>
            <w:gridSpan w:val="4"/>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r w:rsidRPr="008B7A49">
              <w:rPr>
                <w:rFonts w:eastAsia="Times New Roman" w:cs="Arial"/>
                <w:b/>
                <w:bCs/>
                <w:color w:val="000000"/>
                <w:sz w:val="20"/>
                <w:szCs w:val="20"/>
                <w:lang w:eastAsia="nl-NL"/>
              </w:rPr>
              <w:t>2. Welzijn &amp; educatie</w:t>
            </w:r>
          </w:p>
        </w:tc>
        <w:tc>
          <w:tcPr>
            <w:tcW w:w="638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28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u w:val="single"/>
                <w:lang w:eastAsia="nl-NL"/>
              </w:rPr>
            </w:pPr>
            <w:r w:rsidRPr="002C241A">
              <w:rPr>
                <w:rFonts w:eastAsia="Times New Roman" w:cs="Arial"/>
                <w:b/>
                <w:bCs/>
                <w:color w:val="000000"/>
                <w:sz w:val="18"/>
                <w:szCs w:val="18"/>
                <w:u w:val="single"/>
                <w:lang w:eastAsia="nl-NL"/>
              </w:rPr>
              <w:t>Lasten</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Volksgezondheid</w:t>
            </w: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hideMark/>
          </w:tcPr>
          <w:p w:rsidR="002A5FB8" w:rsidRPr="002C241A" w:rsidRDefault="002A5FB8" w:rsidP="002A5FB8">
            <w:pPr>
              <w:rPr>
                <w:rFonts w:eastAsia="Times New Roman" w:cs="Arial"/>
                <w:color w:val="000000"/>
                <w:sz w:val="18"/>
                <w:szCs w:val="18"/>
                <w:lang w:eastAsia="nl-NL"/>
              </w:rPr>
            </w:pPr>
            <w:r w:rsidRPr="002C241A">
              <w:rPr>
                <w:rFonts w:eastAsia="Times New Roman" w:cs="Arial"/>
                <w:color w:val="000000"/>
                <w:sz w:val="18"/>
                <w:szCs w:val="18"/>
                <w:lang w:eastAsia="nl-NL"/>
              </w:rPr>
              <w:t>65110/34300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 xml:space="preserve">Incidenteel overschot op gezondheidsbeleid door inzet </w:t>
            </w:r>
            <w:proofErr w:type="spellStart"/>
            <w:r w:rsidRPr="002C241A">
              <w:rPr>
                <w:rFonts w:eastAsia="Times New Roman" w:cs="Arial"/>
                <w:bCs/>
                <w:color w:val="000000"/>
                <w:sz w:val="18"/>
                <w:szCs w:val="18"/>
                <w:lang w:eastAsia="nl-NL"/>
              </w:rPr>
              <w:t>GIDSgelden</w:t>
            </w:r>
            <w:proofErr w:type="spellEnd"/>
            <w:r w:rsidRPr="002C241A">
              <w:rPr>
                <w:rFonts w:eastAsia="Times New Roman" w:cs="Arial"/>
                <w:bCs/>
                <w:color w:val="000000"/>
                <w:sz w:val="18"/>
                <w:szCs w:val="18"/>
                <w:lang w:eastAsia="nl-NL"/>
              </w:rPr>
              <w:t xml:space="preserve">. </w:t>
            </w:r>
          </w:p>
        </w:tc>
        <w:tc>
          <w:tcPr>
            <w:tcW w:w="1280" w:type="dxa"/>
            <w:tcBorders>
              <w:top w:val="nil"/>
              <w:left w:val="nil"/>
              <w:bottom w:val="nil"/>
              <w:right w:val="nil"/>
            </w:tcBorders>
            <w:shd w:val="clear" w:color="auto" w:fill="auto"/>
            <w:noWrap/>
            <w:vAlign w:val="bottom"/>
            <w:hideMark/>
          </w:tcPr>
          <w:p w:rsidR="002A5FB8" w:rsidRPr="002C241A" w:rsidRDefault="002A5FB8" w:rsidP="002A5FB8">
            <w:pPr>
              <w:jc w:val="right"/>
              <w:rPr>
                <w:rFonts w:eastAsia="Times New Roman" w:cs="Arial"/>
                <w:color w:val="000000"/>
                <w:sz w:val="18"/>
                <w:szCs w:val="18"/>
                <w:lang w:eastAsia="nl-NL"/>
              </w:rPr>
            </w:pPr>
            <w:r w:rsidRPr="002C241A">
              <w:rPr>
                <w:rFonts w:eastAsia="Times New Roman" w:cs="Arial"/>
                <w:color w:val="000000"/>
                <w:sz w:val="18"/>
                <w:szCs w:val="18"/>
                <w:lang w:eastAsia="nl-NL"/>
              </w:rPr>
              <w:t>12.000</w:t>
            </w:r>
          </w:p>
        </w:tc>
        <w:tc>
          <w:tcPr>
            <w:tcW w:w="1340" w:type="dxa"/>
            <w:tcBorders>
              <w:top w:val="nil"/>
              <w:left w:val="nil"/>
              <w:bottom w:val="nil"/>
              <w:right w:val="nil"/>
            </w:tcBorders>
            <w:shd w:val="clear" w:color="auto" w:fill="auto"/>
            <w:noWrap/>
            <w:vAlign w:val="bottom"/>
            <w:hideMark/>
          </w:tcPr>
          <w:p w:rsidR="002A5FB8" w:rsidRPr="002C241A" w:rsidRDefault="002A5FB8" w:rsidP="002A5FB8">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bottom"/>
            <w:hideMark/>
          </w:tcPr>
          <w:p w:rsidR="002A5FB8" w:rsidRPr="002C241A" w:rsidRDefault="002A5FB8" w:rsidP="002A5FB8">
            <w:pPr>
              <w:jc w:val="right"/>
              <w:rPr>
                <w:rFonts w:eastAsia="Times New Roman" w:cs="Arial"/>
                <w:color w:val="000000"/>
                <w:sz w:val="18"/>
                <w:szCs w:val="18"/>
                <w:lang w:eastAsia="nl-NL"/>
              </w:rPr>
            </w:pPr>
            <w:r w:rsidRPr="002C241A">
              <w:rPr>
                <w:rFonts w:eastAsia="Times New Roman" w:cs="Arial"/>
                <w:color w:val="000000"/>
                <w:sz w:val="18"/>
                <w:szCs w:val="18"/>
                <w:lang w:eastAsia="nl-NL"/>
              </w:rPr>
              <w:t>12.000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 xml:space="preserve">Welzijn en </w:t>
            </w:r>
            <w:r w:rsidR="002C241A" w:rsidRPr="002C241A">
              <w:rPr>
                <w:rFonts w:eastAsia="Times New Roman" w:cs="Arial"/>
                <w:b/>
                <w:bCs/>
                <w:color w:val="000000"/>
                <w:sz w:val="18"/>
                <w:szCs w:val="18"/>
                <w:lang w:eastAsia="nl-NL"/>
              </w:rPr>
              <w:t>sportaccommodaties</w:t>
            </w: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hideMark/>
          </w:tcPr>
          <w:p w:rsidR="002A5FB8" w:rsidRPr="002C241A" w:rsidRDefault="002A5FB8" w:rsidP="002A5FB8">
            <w:pPr>
              <w:rPr>
                <w:rFonts w:eastAsia="Times New Roman" w:cs="Arial"/>
                <w:color w:val="000000"/>
                <w:sz w:val="18"/>
                <w:szCs w:val="18"/>
                <w:lang w:eastAsia="nl-NL"/>
              </w:rPr>
            </w:pPr>
            <w:r w:rsidRPr="002C241A">
              <w:rPr>
                <w:rFonts w:eastAsia="Times New Roman" w:cs="Arial"/>
                <w:color w:val="000000"/>
                <w:sz w:val="18"/>
                <w:szCs w:val="18"/>
                <w:lang w:eastAsia="nl-NL"/>
              </w:rPr>
              <w:t>62611/34300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Nadeel door uitval van de grasmat door de extreem warme zomer.</w:t>
            </w:r>
          </w:p>
        </w:tc>
        <w:tc>
          <w:tcPr>
            <w:tcW w:w="1280" w:type="dxa"/>
            <w:tcBorders>
              <w:top w:val="nil"/>
              <w:left w:val="nil"/>
              <w:bottom w:val="nil"/>
              <w:right w:val="nil"/>
            </w:tcBorders>
            <w:shd w:val="clear" w:color="auto" w:fill="auto"/>
            <w:noWrap/>
            <w:vAlign w:val="bottom"/>
            <w:hideMark/>
          </w:tcPr>
          <w:p w:rsidR="002A5FB8" w:rsidRPr="002C241A" w:rsidRDefault="002A5FB8" w:rsidP="002A5FB8">
            <w:pPr>
              <w:jc w:val="right"/>
              <w:rPr>
                <w:rFonts w:eastAsia="Times New Roman" w:cs="Arial"/>
                <w:color w:val="000000"/>
                <w:sz w:val="18"/>
                <w:szCs w:val="18"/>
                <w:lang w:eastAsia="nl-NL"/>
              </w:rPr>
            </w:pPr>
            <w:r w:rsidRPr="002C241A">
              <w:rPr>
                <w:rFonts w:eastAsia="Times New Roman" w:cs="Arial"/>
                <w:color w:val="000000"/>
                <w:sz w:val="18"/>
                <w:szCs w:val="18"/>
                <w:lang w:eastAsia="nl-NL"/>
              </w:rPr>
              <w:t>-15.000</w:t>
            </w:r>
          </w:p>
        </w:tc>
        <w:tc>
          <w:tcPr>
            <w:tcW w:w="1340" w:type="dxa"/>
            <w:tcBorders>
              <w:top w:val="nil"/>
              <w:left w:val="nil"/>
              <w:bottom w:val="nil"/>
              <w:right w:val="nil"/>
            </w:tcBorders>
            <w:shd w:val="clear" w:color="auto" w:fill="auto"/>
            <w:noWrap/>
            <w:vAlign w:val="bottom"/>
            <w:hideMark/>
          </w:tcPr>
          <w:p w:rsidR="002A5FB8" w:rsidRPr="002C241A" w:rsidRDefault="002A5FB8" w:rsidP="002A5FB8">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bottom"/>
            <w:hideMark/>
          </w:tcPr>
          <w:p w:rsidR="002A5FB8" w:rsidRPr="002C241A" w:rsidRDefault="002A5FB8" w:rsidP="002A5FB8">
            <w:pPr>
              <w:jc w:val="right"/>
              <w:rPr>
                <w:rFonts w:eastAsia="Times New Roman" w:cs="Arial"/>
                <w:color w:val="000000"/>
                <w:sz w:val="18"/>
                <w:szCs w:val="18"/>
                <w:lang w:eastAsia="nl-NL"/>
              </w:rPr>
            </w:pPr>
            <w:r w:rsidRPr="002C241A">
              <w:rPr>
                <w:rFonts w:eastAsia="Times New Roman" w:cs="Arial"/>
                <w:color w:val="000000"/>
                <w:sz w:val="18"/>
                <w:szCs w:val="18"/>
                <w:lang w:eastAsia="nl-NL"/>
              </w:rPr>
              <w:t>-15.000</w:t>
            </w:r>
          </w:p>
        </w:tc>
      </w:tr>
      <w:tr w:rsidR="002A5FB8" w:rsidRPr="008B7A49" w:rsidTr="00380A06">
        <w:trPr>
          <w:trHeight w:val="255"/>
        </w:trPr>
        <w:tc>
          <w:tcPr>
            <w:tcW w:w="9725" w:type="dxa"/>
            <w:gridSpan w:val="5"/>
            <w:tcBorders>
              <w:top w:val="nil"/>
              <w:left w:val="nil"/>
              <w:bottom w:val="nil"/>
              <w:right w:val="nil"/>
            </w:tcBorders>
            <w:shd w:val="clear" w:color="B8CCE4" w:fill="B8CCE4"/>
            <w:noWrap/>
            <w:vAlign w:val="bottom"/>
            <w:hideMark/>
          </w:tcPr>
          <w:p w:rsidR="002A5FB8" w:rsidRPr="002C241A" w:rsidRDefault="002A5FB8" w:rsidP="002A5FB8">
            <w:pPr>
              <w:rPr>
                <w:rFonts w:eastAsia="Times New Roman" w:cs="Arial"/>
                <w:b/>
                <w:bCs/>
                <w:color w:val="000000"/>
                <w:sz w:val="18"/>
                <w:szCs w:val="18"/>
                <w:lang w:eastAsia="nl-NL"/>
              </w:rPr>
            </w:pPr>
            <w:r w:rsidRPr="002C241A">
              <w:rPr>
                <w:rFonts w:eastAsia="Times New Roman" w:cs="Arial"/>
                <w:b/>
                <w:bCs/>
                <w:color w:val="000000"/>
                <w:sz w:val="18"/>
                <w:szCs w:val="18"/>
                <w:lang w:eastAsia="nl-NL"/>
              </w:rPr>
              <w:t>Totaal</w:t>
            </w:r>
            <w:r w:rsidR="0093652A">
              <w:rPr>
                <w:rFonts w:eastAsia="Times New Roman" w:cs="Arial"/>
                <w:b/>
                <w:bCs/>
                <w:color w:val="000000"/>
                <w:sz w:val="18"/>
                <w:szCs w:val="18"/>
                <w:lang w:eastAsia="nl-NL"/>
              </w:rPr>
              <w:t xml:space="preserve"> Programma</w:t>
            </w:r>
            <w:r w:rsidRPr="002C241A">
              <w:rPr>
                <w:rFonts w:eastAsia="Times New Roman" w:cs="Arial"/>
                <w:b/>
                <w:bCs/>
                <w:color w:val="000000"/>
                <w:sz w:val="18"/>
                <w:szCs w:val="18"/>
                <w:lang w:eastAsia="nl-NL"/>
              </w:rPr>
              <w:t xml:space="preserve"> 2. Welzijn &amp; educatie</w:t>
            </w:r>
          </w:p>
        </w:tc>
        <w:tc>
          <w:tcPr>
            <w:tcW w:w="1280" w:type="dxa"/>
            <w:tcBorders>
              <w:top w:val="nil"/>
              <w:left w:val="nil"/>
              <w:bottom w:val="nil"/>
              <w:right w:val="nil"/>
            </w:tcBorders>
            <w:shd w:val="clear" w:color="B8CCE4" w:fill="B8CCE4"/>
            <w:noWrap/>
            <w:vAlign w:val="bottom"/>
            <w:hideMark/>
          </w:tcPr>
          <w:p w:rsidR="002A5FB8" w:rsidRPr="002C241A" w:rsidRDefault="002A5FB8" w:rsidP="002A5FB8">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-3.000</w:t>
            </w:r>
          </w:p>
        </w:tc>
        <w:tc>
          <w:tcPr>
            <w:tcW w:w="1340" w:type="dxa"/>
            <w:tcBorders>
              <w:top w:val="nil"/>
              <w:left w:val="nil"/>
              <w:bottom w:val="nil"/>
              <w:right w:val="nil"/>
            </w:tcBorders>
            <w:shd w:val="clear" w:color="B8CCE4" w:fill="B8CCE4"/>
            <w:noWrap/>
            <w:vAlign w:val="bottom"/>
            <w:hideMark/>
          </w:tcPr>
          <w:p w:rsidR="002A5FB8" w:rsidRPr="002C241A" w:rsidRDefault="002A5FB8" w:rsidP="002A5FB8">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0</w:t>
            </w:r>
          </w:p>
        </w:tc>
        <w:tc>
          <w:tcPr>
            <w:tcW w:w="1340" w:type="dxa"/>
            <w:tcBorders>
              <w:top w:val="nil"/>
              <w:left w:val="nil"/>
              <w:bottom w:val="nil"/>
              <w:right w:val="nil"/>
            </w:tcBorders>
            <w:shd w:val="clear" w:color="B8CCE4" w:fill="B8CCE4"/>
            <w:noWrap/>
            <w:vAlign w:val="bottom"/>
            <w:hideMark/>
          </w:tcPr>
          <w:p w:rsidR="002A5FB8" w:rsidRPr="002C241A" w:rsidRDefault="002A5FB8" w:rsidP="002A5FB8">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-3.000</w:t>
            </w:r>
          </w:p>
        </w:tc>
      </w:tr>
      <w:tr w:rsidR="002A5FB8" w:rsidRPr="008B7A49" w:rsidTr="00380A06">
        <w:trPr>
          <w:trHeight w:val="255"/>
        </w:trPr>
        <w:tc>
          <w:tcPr>
            <w:tcW w:w="9725" w:type="dxa"/>
            <w:gridSpan w:val="5"/>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r w:rsidRPr="008B7A49">
              <w:rPr>
                <w:rFonts w:eastAsia="Times New Roman" w:cs="Arial"/>
                <w:b/>
                <w:bCs/>
                <w:color w:val="000000"/>
                <w:sz w:val="20"/>
                <w:szCs w:val="20"/>
                <w:lang w:eastAsia="nl-NL"/>
              </w:rPr>
              <w:lastRenderedPageBreak/>
              <w:t>3. Ru</w:t>
            </w:r>
            <w:r w:rsidR="002C241A">
              <w:rPr>
                <w:rFonts w:eastAsia="Times New Roman" w:cs="Arial"/>
                <w:b/>
                <w:bCs/>
                <w:color w:val="000000"/>
                <w:sz w:val="20"/>
                <w:szCs w:val="20"/>
                <w:lang w:eastAsia="nl-NL"/>
              </w:rPr>
              <w:t>imtelijke &amp; economische ontwikkelingen</w:t>
            </w:r>
          </w:p>
        </w:tc>
        <w:tc>
          <w:tcPr>
            <w:tcW w:w="128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u w:val="single"/>
                <w:lang w:eastAsia="nl-NL"/>
              </w:rPr>
            </w:pPr>
            <w:r w:rsidRPr="002C241A">
              <w:rPr>
                <w:rFonts w:eastAsia="Times New Roman" w:cs="Arial"/>
                <w:b/>
                <w:bCs/>
                <w:color w:val="000000"/>
                <w:sz w:val="18"/>
                <w:szCs w:val="18"/>
                <w:u w:val="single"/>
                <w:lang w:eastAsia="nl-NL"/>
              </w:rPr>
              <w:t>Lasten</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Groen leefomgeving</w:t>
            </w: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63020/34330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Extra kosten in verband met het bestrijden van de Eikenprocessierups</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-23.500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-23.500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Planontwikkeling</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739"/>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66000/34300</w:t>
            </w:r>
          </w:p>
        </w:tc>
        <w:tc>
          <w:tcPr>
            <w:tcW w:w="6380" w:type="dxa"/>
            <w:tcBorders>
              <w:top w:val="nil"/>
              <w:left w:val="nil"/>
              <w:bottom w:val="nil"/>
              <w:right w:val="nil"/>
            </w:tcBorders>
            <w:shd w:val="clear" w:color="auto" w:fill="auto"/>
            <w:vAlign w:val="bottom"/>
            <w:hideMark/>
          </w:tcPr>
          <w:p w:rsidR="002A5FB8" w:rsidRPr="002C241A" w:rsidRDefault="00AA781E" w:rsidP="002A5FB8">
            <w:pPr>
              <w:rPr>
                <w:rFonts w:eastAsia="Times New Roman" w:cs="Arial"/>
                <w:bCs/>
                <w:color w:val="000000"/>
                <w:sz w:val="18"/>
                <w:szCs w:val="18"/>
                <w:lang w:eastAsia="nl-NL"/>
              </w:rPr>
            </w:pPr>
            <w:r w:rsidRPr="00AA781E">
              <w:rPr>
                <w:rFonts w:eastAsia="Times New Roman" w:cs="Arial"/>
                <w:bCs/>
                <w:color w:val="000000"/>
                <w:sz w:val="18"/>
                <w:szCs w:val="18"/>
                <w:lang w:eastAsia="nl-NL"/>
              </w:rPr>
              <w:t xml:space="preserve">Het (project) budget voor het nieuwe bestemmingsplan </w:t>
            </w:r>
            <w:proofErr w:type="spellStart"/>
            <w:r w:rsidRPr="00AA781E">
              <w:rPr>
                <w:rFonts w:eastAsia="Times New Roman" w:cs="Arial"/>
                <w:bCs/>
                <w:color w:val="000000"/>
                <w:sz w:val="18"/>
                <w:szCs w:val="18"/>
                <w:lang w:eastAsia="nl-NL"/>
              </w:rPr>
              <w:t>Prikkedam</w:t>
            </w:r>
            <w:proofErr w:type="spellEnd"/>
            <w:r w:rsidRPr="00AA781E">
              <w:rPr>
                <w:rFonts w:eastAsia="Times New Roman" w:cs="Arial"/>
                <w:bCs/>
                <w:color w:val="000000"/>
                <w:sz w:val="18"/>
                <w:szCs w:val="18"/>
                <w:lang w:eastAsia="nl-NL"/>
              </w:rPr>
              <w:t xml:space="preserve"> is besteed (€ 76.500). Er ligt echter nog geen bestemmingsplan inclusief </w:t>
            </w:r>
            <w:proofErr w:type="spellStart"/>
            <w:r w:rsidRPr="00AA781E">
              <w:rPr>
                <w:rFonts w:eastAsia="Times New Roman" w:cs="Arial"/>
                <w:bCs/>
                <w:color w:val="000000"/>
                <w:sz w:val="18"/>
                <w:szCs w:val="18"/>
                <w:lang w:eastAsia="nl-NL"/>
              </w:rPr>
              <w:t>PlanMer</w:t>
            </w:r>
            <w:proofErr w:type="spellEnd"/>
            <w:r w:rsidRPr="00AA781E">
              <w:rPr>
                <w:rFonts w:eastAsia="Times New Roman" w:cs="Arial"/>
                <w:bCs/>
                <w:color w:val="000000"/>
                <w:sz w:val="18"/>
                <w:szCs w:val="18"/>
                <w:lang w:eastAsia="nl-NL"/>
              </w:rPr>
              <w:t>. De vervolgkosten voor het opstellen van het bestemm</w:t>
            </w:r>
            <w:r w:rsidR="00151BF0">
              <w:rPr>
                <w:rFonts w:eastAsia="Times New Roman" w:cs="Arial"/>
                <w:bCs/>
                <w:color w:val="000000"/>
                <w:sz w:val="18"/>
                <w:szCs w:val="18"/>
                <w:lang w:eastAsia="nl-NL"/>
              </w:rPr>
              <w:t xml:space="preserve">ingsplan en de </w:t>
            </w:r>
            <w:proofErr w:type="spellStart"/>
            <w:r w:rsidR="00151BF0">
              <w:rPr>
                <w:rFonts w:eastAsia="Times New Roman" w:cs="Arial"/>
                <w:bCs/>
                <w:color w:val="000000"/>
                <w:sz w:val="18"/>
                <w:szCs w:val="18"/>
                <w:lang w:eastAsia="nl-NL"/>
              </w:rPr>
              <w:t>PlanMer</w:t>
            </w:r>
            <w:proofErr w:type="spellEnd"/>
            <w:r w:rsidR="00151BF0">
              <w:rPr>
                <w:rFonts w:eastAsia="Times New Roman" w:cs="Arial"/>
                <w:bCs/>
                <w:color w:val="000000"/>
                <w:sz w:val="18"/>
                <w:szCs w:val="18"/>
                <w:lang w:eastAsia="nl-NL"/>
              </w:rPr>
              <w:t xml:space="preserve"> worden </w:t>
            </w:r>
            <w:r w:rsidRPr="00AA781E">
              <w:rPr>
                <w:rFonts w:eastAsia="Times New Roman" w:cs="Arial"/>
                <w:bCs/>
                <w:color w:val="000000"/>
                <w:sz w:val="18"/>
                <w:szCs w:val="18"/>
                <w:lang w:eastAsia="nl-NL"/>
              </w:rPr>
              <w:t>geschat op € 100.000 (2018/2019).</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-100.000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-100.000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66500/34350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 xml:space="preserve">Grondexploitatie: </w:t>
            </w:r>
            <w:proofErr w:type="spellStart"/>
            <w:r w:rsidRPr="002C241A">
              <w:rPr>
                <w:rFonts w:eastAsia="Times New Roman" w:cs="Arial"/>
                <w:bCs/>
                <w:color w:val="000000"/>
                <w:sz w:val="18"/>
                <w:szCs w:val="18"/>
                <w:lang w:eastAsia="nl-NL"/>
              </w:rPr>
              <w:t>grexmanager</w:t>
            </w:r>
            <w:proofErr w:type="spellEnd"/>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-5.500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-5.500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66501/33310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Grondexploitatie: kosten worden de komende jaren gemaakt.</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150.000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150.000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66502/33310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Grondexploitatie: kosten worden de komende jaren gemaakt.</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60.000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60.000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66601/63000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Mutatie boekwaarde (=sluitpost grondexploitatie)</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15.500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15.500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66602/63000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Mutatie boekwaarde (=sluitpost grondexploitatie)</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490.000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490.000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66650/34350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Grond en gebouwen: onvoorziene kosten (notaris, kadaster etc</w:t>
            </w:r>
            <w:r w:rsidR="00151BF0">
              <w:rPr>
                <w:rFonts w:eastAsia="Times New Roman" w:cs="Arial"/>
                <w:bCs/>
                <w:color w:val="000000"/>
                <w:sz w:val="18"/>
                <w:szCs w:val="18"/>
                <w:lang w:eastAsia="nl-NL"/>
              </w:rPr>
              <w:t>.</w:t>
            </w:r>
            <w:r w:rsidRPr="002C241A">
              <w:rPr>
                <w:rFonts w:eastAsia="Times New Roman" w:cs="Arial"/>
                <w:bCs/>
                <w:color w:val="000000"/>
                <w:sz w:val="18"/>
                <w:szCs w:val="18"/>
                <w:lang w:eastAsia="nl-NL"/>
              </w:rPr>
              <w:t>)</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u w:val="single"/>
                <w:lang w:eastAsia="nl-NL"/>
              </w:rPr>
            </w:pPr>
            <w:r w:rsidRPr="002C241A">
              <w:rPr>
                <w:rFonts w:eastAsia="Times New Roman" w:cs="Arial"/>
                <w:b/>
                <w:bCs/>
                <w:color w:val="000000"/>
                <w:sz w:val="18"/>
                <w:szCs w:val="18"/>
                <w:u w:val="single"/>
                <w:lang w:eastAsia="nl-NL"/>
              </w:rPr>
              <w:t>Baten</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Groen leefomgeving</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480"/>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63010/34500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 xml:space="preserve">Vergoeding </w:t>
            </w:r>
            <w:proofErr w:type="spellStart"/>
            <w:r w:rsidRPr="002C241A">
              <w:rPr>
                <w:rFonts w:eastAsia="Times New Roman" w:cs="Arial"/>
                <w:bCs/>
                <w:color w:val="000000"/>
                <w:sz w:val="18"/>
                <w:szCs w:val="18"/>
                <w:lang w:eastAsia="nl-NL"/>
              </w:rPr>
              <w:t>Wetterskip</w:t>
            </w:r>
            <w:proofErr w:type="spellEnd"/>
            <w:r w:rsidRPr="002C241A">
              <w:rPr>
                <w:rFonts w:eastAsia="Times New Roman" w:cs="Arial"/>
                <w:bCs/>
                <w:color w:val="000000"/>
                <w:sz w:val="18"/>
                <w:szCs w:val="18"/>
                <w:lang w:eastAsia="nl-NL"/>
              </w:rPr>
              <w:t xml:space="preserve"> i</w:t>
            </w:r>
            <w:r w:rsidR="002C241A">
              <w:rPr>
                <w:rFonts w:eastAsia="Times New Roman" w:cs="Arial"/>
                <w:bCs/>
                <w:color w:val="000000"/>
                <w:sz w:val="18"/>
                <w:szCs w:val="18"/>
                <w:lang w:eastAsia="nl-NL"/>
              </w:rPr>
              <w:t>.</w:t>
            </w:r>
            <w:r w:rsidRPr="002C241A">
              <w:rPr>
                <w:rFonts w:eastAsia="Times New Roman" w:cs="Arial"/>
                <w:bCs/>
                <w:color w:val="000000"/>
                <w:sz w:val="18"/>
                <w:szCs w:val="18"/>
                <w:lang w:eastAsia="nl-NL"/>
              </w:rPr>
              <w:t>v</w:t>
            </w:r>
            <w:r w:rsidR="002C241A">
              <w:rPr>
                <w:rFonts w:eastAsia="Times New Roman" w:cs="Arial"/>
                <w:bCs/>
                <w:color w:val="000000"/>
                <w:sz w:val="18"/>
                <w:szCs w:val="18"/>
                <w:lang w:eastAsia="nl-NL"/>
              </w:rPr>
              <w:t>.</w:t>
            </w:r>
            <w:r w:rsidRPr="002C241A">
              <w:rPr>
                <w:rFonts w:eastAsia="Times New Roman" w:cs="Arial"/>
                <w:bCs/>
                <w:color w:val="000000"/>
                <w:sz w:val="18"/>
                <w:szCs w:val="18"/>
                <w:lang w:eastAsia="nl-NL"/>
              </w:rPr>
              <w:t>m</w:t>
            </w:r>
            <w:r w:rsidR="002D199D">
              <w:rPr>
                <w:rFonts w:eastAsia="Times New Roman" w:cs="Arial"/>
                <w:bCs/>
                <w:color w:val="000000"/>
                <w:sz w:val="18"/>
                <w:szCs w:val="18"/>
                <w:lang w:eastAsia="nl-NL"/>
              </w:rPr>
              <w:t>.</w:t>
            </w:r>
            <w:r w:rsidRPr="002C241A">
              <w:rPr>
                <w:rFonts w:eastAsia="Times New Roman" w:cs="Arial"/>
                <w:bCs/>
                <w:color w:val="000000"/>
                <w:sz w:val="18"/>
                <w:szCs w:val="18"/>
                <w:lang w:eastAsia="nl-NL"/>
              </w:rPr>
              <w:t xml:space="preserve"> onderhoud watergangen. Bijdrage is in de primitieve begroting 2019 verwerkt. </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25.000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25.000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Planontwikkeling</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53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66501/33100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 xml:space="preserve">In 2018 zijn in totaal 8 woningbouwkavels (Langedijke 1, Elsloo 4 en Donkerbroek 3) verkocht. Ook zijn er twaalf opties verleend. De verkoop van de Kromten wordt dit jaar niet gerealiseerd, dit zorgt voor een nadeel. </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-160.000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-160.000</w:t>
            </w:r>
          </w:p>
        </w:tc>
      </w:tr>
      <w:tr w:rsidR="002A5FB8" w:rsidRPr="008B7A49" w:rsidTr="00380A06">
        <w:trPr>
          <w:trHeight w:val="720"/>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66502/33100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Op het industrieterrein Venekoten verwachten we drie kavels te verkopen. Met een aantal andere gegadigden zijn we in gesprek, maar de verwachting is dat dit in 2018 nog niet leidt tot een verkoop.</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-550.000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-550.000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66650/33100</w:t>
            </w:r>
          </w:p>
        </w:tc>
        <w:tc>
          <w:tcPr>
            <w:tcW w:w="6380" w:type="dxa"/>
            <w:tcBorders>
              <w:top w:val="nil"/>
              <w:left w:val="nil"/>
              <w:bottom w:val="nil"/>
              <w:right w:val="nil"/>
            </w:tcBorders>
            <w:shd w:val="clear" w:color="auto" w:fill="auto"/>
            <w:vAlign w:val="bottom"/>
            <w:hideMark/>
          </w:tcPr>
          <w:p w:rsidR="002A5FB8" w:rsidRPr="002C241A" w:rsidRDefault="00EA0104" w:rsidP="00EA0104">
            <w:pPr>
              <w:rPr>
                <w:rFonts w:eastAsia="Times New Roman" w:cs="Arial"/>
                <w:bCs/>
                <w:color w:val="000000"/>
                <w:sz w:val="18"/>
                <w:szCs w:val="18"/>
                <w:lang w:eastAsia="nl-NL"/>
              </w:rPr>
            </w:pPr>
            <w:r>
              <w:rPr>
                <w:rFonts w:eastAsia="Times New Roman" w:cs="Arial"/>
                <w:bCs/>
                <w:color w:val="000000"/>
                <w:sz w:val="18"/>
                <w:szCs w:val="18"/>
                <w:lang w:eastAsia="nl-NL"/>
              </w:rPr>
              <w:t>Gronden en Gebouwen: o</w:t>
            </w:r>
            <w:r w:rsidR="002A5FB8" w:rsidRPr="002C241A">
              <w:rPr>
                <w:rFonts w:eastAsia="Times New Roman" w:cs="Arial"/>
                <w:bCs/>
                <w:color w:val="000000"/>
                <w:sz w:val="18"/>
                <w:szCs w:val="18"/>
                <w:lang w:eastAsia="nl-NL"/>
              </w:rPr>
              <w:t xml:space="preserve">pbrengst grondruil </w:t>
            </w:r>
            <w:proofErr w:type="spellStart"/>
            <w:r w:rsidR="002A5FB8" w:rsidRPr="002C241A">
              <w:rPr>
                <w:rFonts w:eastAsia="Times New Roman" w:cs="Arial"/>
                <w:bCs/>
                <w:color w:val="000000"/>
                <w:sz w:val="18"/>
                <w:szCs w:val="18"/>
                <w:lang w:eastAsia="nl-NL"/>
              </w:rPr>
              <w:t>Boerestreek</w:t>
            </w:r>
            <w:proofErr w:type="spellEnd"/>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40.000</w:t>
            </w:r>
          </w:p>
        </w:tc>
      </w:tr>
      <w:tr w:rsidR="002A5FB8" w:rsidRPr="008B7A49" w:rsidTr="00380A06">
        <w:trPr>
          <w:trHeight w:val="255"/>
        </w:trPr>
        <w:tc>
          <w:tcPr>
            <w:tcW w:w="9725" w:type="dxa"/>
            <w:gridSpan w:val="5"/>
            <w:tcBorders>
              <w:top w:val="nil"/>
              <w:left w:val="nil"/>
              <w:bottom w:val="nil"/>
              <w:right w:val="nil"/>
            </w:tcBorders>
            <w:shd w:val="clear" w:color="B8CCE4" w:fill="B8CCE4"/>
            <w:noWrap/>
            <w:vAlign w:val="bottom"/>
            <w:hideMark/>
          </w:tcPr>
          <w:p w:rsidR="002A5FB8" w:rsidRPr="002C241A" w:rsidRDefault="002A5FB8" w:rsidP="002A5FB8">
            <w:pPr>
              <w:rPr>
                <w:rFonts w:eastAsia="Times New Roman" w:cs="Arial"/>
                <w:b/>
                <w:bCs/>
                <w:color w:val="000000"/>
                <w:sz w:val="18"/>
                <w:szCs w:val="18"/>
                <w:lang w:eastAsia="nl-NL"/>
              </w:rPr>
            </w:pPr>
            <w:r w:rsidRPr="002C241A">
              <w:rPr>
                <w:rFonts w:eastAsia="Times New Roman" w:cs="Arial"/>
                <w:b/>
                <w:bCs/>
                <w:color w:val="000000"/>
                <w:sz w:val="18"/>
                <w:szCs w:val="18"/>
                <w:lang w:eastAsia="nl-NL"/>
              </w:rPr>
              <w:t xml:space="preserve">Totaal </w:t>
            </w:r>
            <w:r w:rsidR="0093652A">
              <w:rPr>
                <w:rFonts w:eastAsia="Times New Roman" w:cs="Arial"/>
                <w:b/>
                <w:bCs/>
                <w:color w:val="000000"/>
                <w:sz w:val="18"/>
                <w:szCs w:val="18"/>
                <w:lang w:eastAsia="nl-NL"/>
              </w:rPr>
              <w:t xml:space="preserve">Programma </w:t>
            </w:r>
            <w:r w:rsidRPr="002C241A">
              <w:rPr>
                <w:rFonts w:eastAsia="Times New Roman" w:cs="Arial"/>
                <w:b/>
                <w:bCs/>
                <w:color w:val="000000"/>
                <w:sz w:val="18"/>
                <w:szCs w:val="18"/>
                <w:lang w:eastAsia="nl-NL"/>
              </w:rPr>
              <w:t>3. Ru</w:t>
            </w:r>
            <w:r w:rsidR="002C241A">
              <w:rPr>
                <w:rFonts w:eastAsia="Times New Roman" w:cs="Arial"/>
                <w:b/>
                <w:bCs/>
                <w:color w:val="000000"/>
                <w:sz w:val="18"/>
                <w:szCs w:val="18"/>
                <w:lang w:eastAsia="nl-NL"/>
              </w:rPr>
              <w:t>imtelijke &amp; economische ontwikkelingen</w:t>
            </w:r>
          </w:p>
        </w:tc>
        <w:tc>
          <w:tcPr>
            <w:tcW w:w="1280" w:type="dxa"/>
            <w:tcBorders>
              <w:top w:val="nil"/>
              <w:left w:val="nil"/>
              <w:bottom w:val="nil"/>
              <w:right w:val="nil"/>
            </w:tcBorders>
            <w:shd w:val="clear" w:color="B8CCE4" w:fill="B8CCE4"/>
            <w:noWrap/>
            <w:vAlign w:val="bottom"/>
            <w:hideMark/>
          </w:tcPr>
          <w:p w:rsidR="002A5FB8" w:rsidRPr="002C241A" w:rsidRDefault="002A5FB8" w:rsidP="002A5FB8">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-78.500</w:t>
            </w:r>
          </w:p>
        </w:tc>
        <w:tc>
          <w:tcPr>
            <w:tcW w:w="1340" w:type="dxa"/>
            <w:tcBorders>
              <w:top w:val="nil"/>
              <w:left w:val="nil"/>
              <w:bottom w:val="nil"/>
              <w:right w:val="nil"/>
            </w:tcBorders>
            <w:shd w:val="clear" w:color="B8CCE4" w:fill="B8CCE4"/>
            <w:noWrap/>
            <w:vAlign w:val="bottom"/>
            <w:hideMark/>
          </w:tcPr>
          <w:p w:rsidR="002A5FB8" w:rsidRPr="002C241A" w:rsidRDefault="002A5FB8" w:rsidP="002A5FB8">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0</w:t>
            </w:r>
          </w:p>
        </w:tc>
        <w:tc>
          <w:tcPr>
            <w:tcW w:w="1340" w:type="dxa"/>
            <w:tcBorders>
              <w:top w:val="nil"/>
              <w:left w:val="nil"/>
              <w:bottom w:val="nil"/>
              <w:right w:val="nil"/>
            </w:tcBorders>
            <w:shd w:val="clear" w:color="B8CCE4" w:fill="B8CCE4"/>
            <w:noWrap/>
            <w:vAlign w:val="bottom"/>
            <w:hideMark/>
          </w:tcPr>
          <w:p w:rsidR="002A5FB8" w:rsidRPr="002C241A" w:rsidRDefault="002A5FB8" w:rsidP="002A5FB8">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-78.500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63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2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r>
      <w:tr w:rsidR="002A5FB8" w:rsidRPr="008B7A49" w:rsidTr="00380A06">
        <w:trPr>
          <w:trHeight w:val="255"/>
        </w:trPr>
        <w:tc>
          <w:tcPr>
            <w:tcW w:w="9725" w:type="dxa"/>
            <w:gridSpan w:val="5"/>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r w:rsidRPr="008B7A49">
              <w:rPr>
                <w:rFonts w:eastAsia="Times New Roman" w:cs="Arial"/>
                <w:b/>
                <w:bCs/>
                <w:color w:val="000000"/>
                <w:sz w:val="20"/>
                <w:szCs w:val="20"/>
                <w:lang w:eastAsia="nl-NL"/>
              </w:rPr>
              <w:t>5. Openbare orde en veiligheid</w:t>
            </w:r>
          </w:p>
        </w:tc>
        <w:tc>
          <w:tcPr>
            <w:tcW w:w="128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u w:val="single"/>
                <w:lang w:eastAsia="nl-NL"/>
              </w:rPr>
            </w:pPr>
            <w:r w:rsidRPr="002C241A">
              <w:rPr>
                <w:rFonts w:eastAsia="Times New Roman" w:cs="Arial"/>
                <w:b/>
                <w:bCs/>
                <w:color w:val="000000"/>
                <w:sz w:val="18"/>
                <w:szCs w:val="18"/>
                <w:u w:val="single"/>
                <w:lang w:eastAsia="nl-NL"/>
              </w:rPr>
              <w:t>Lasten</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Handhaving</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r>
      <w:tr w:rsidR="002A5FB8" w:rsidRPr="008B7A49" w:rsidTr="00380A06">
        <w:trPr>
          <w:trHeight w:val="789"/>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66310/42400</w:t>
            </w:r>
          </w:p>
        </w:tc>
        <w:tc>
          <w:tcPr>
            <w:tcW w:w="6380" w:type="dxa"/>
            <w:tcBorders>
              <w:top w:val="nil"/>
              <w:left w:val="nil"/>
              <w:bottom w:val="nil"/>
              <w:right w:val="nil"/>
            </w:tcBorders>
            <w:shd w:val="clear" w:color="auto" w:fill="auto"/>
            <w:vAlign w:val="bottom"/>
            <w:hideMark/>
          </w:tcPr>
          <w:p w:rsidR="002A5FB8" w:rsidRPr="002C241A" w:rsidRDefault="00AA781E" w:rsidP="002A5FB8">
            <w:pPr>
              <w:rPr>
                <w:rFonts w:eastAsia="Times New Roman" w:cs="Arial"/>
                <w:bCs/>
                <w:color w:val="000000"/>
                <w:sz w:val="18"/>
                <w:szCs w:val="18"/>
                <w:lang w:eastAsia="nl-NL"/>
              </w:rPr>
            </w:pPr>
            <w:r w:rsidRPr="00AA781E">
              <w:rPr>
                <w:rFonts w:eastAsia="Times New Roman" w:cs="Arial"/>
                <w:bCs/>
                <w:color w:val="000000"/>
                <w:sz w:val="18"/>
                <w:szCs w:val="18"/>
                <w:lang w:eastAsia="nl-NL"/>
              </w:rPr>
              <w:t>De begroting van de FUMO is gewijzigd, dit leidt tot een hogere bijdrage van € 23.000. De begrotingswijziging is vooral een gevolg van het aanpassen van de normen voor basistaken, de productiviteitsnorm en voor de flexibele schil. Daarnaast voor het versterken van de bedrijfsvoering en planningswerkzaamheden van coördinatoren.</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-23.000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-23.000</w:t>
            </w:r>
          </w:p>
        </w:tc>
      </w:tr>
      <w:tr w:rsidR="0093652A" w:rsidRPr="008B7A49" w:rsidTr="00380A06">
        <w:trPr>
          <w:trHeight w:val="255"/>
        </w:trPr>
        <w:tc>
          <w:tcPr>
            <w:tcW w:w="554" w:type="dxa"/>
            <w:tcBorders>
              <w:top w:val="nil"/>
              <w:left w:val="nil"/>
              <w:bottom w:val="nil"/>
              <w:right w:val="nil"/>
            </w:tcBorders>
            <w:shd w:val="clear" w:color="auto" w:fill="auto"/>
            <w:noWrap/>
            <w:vAlign w:val="bottom"/>
          </w:tcPr>
          <w:p w:rsidR="0093652A" w:rsidRPr="008B7A49" w:rsidRDefault="0093652A"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tcPr>
          <w:p w:rsidR="0093652A" w:rsidRPr="002C241A" w:rsidRDefault="0093652A" w:rsidP="002A5FB8">
            <w:pPr>
              <w:rPr>
                <w:rFonts w:eastAsia="Times New Roman" w:cs="Arial"/>
                <w:b/>
                <w:bCs/>
                <w:color w:val="000000"/>
                <w:sz w:val="18"/>
                <w:szCs w:val="18"/>
                <w:u w:val="single"/>
                <w:lang w:eastAsia="nl-NL"/>
              </w:rPr>
            </w:pPr>
          </w:p>
        </w:tc>
        <w:tc>
          <w:tcPr>
            <w:tcW w:w="6380" w:type="dxa"/>
            <w:tcBorders>
              <w:top w:val="nil"/>
              <w:left w:val="nil"/>
              <w:bottom w:val="nil"/>
              <w:right w:val="nil"/>
            </w:tcBorders>
            <w:shd w:val="clear" w:color="auto" w:fill="auto"/>
            <w:noWrap/>
            <w:vAlign w:val="bottom"/>
          </w:tcPr>
          <w:p w:rsidR="0093652A" w:rsidRPr="002C241A" w:rsidRDefault="0093652A" w:rsidP="002A5FB8">
            <w:pPr>
              <w:rPr>
                <w:rFonts w:eastAsia="Times New Roman" w:cs="Arial"/>
                <w:bCs/>
                <w:color w:val="000000"/>
                <w:sz w:val="18"/>
                <w:szCs w:val="18"/>
                <w:lang w:eastAsia="nl-NL"/>
              </w:rPr>
            </w:pPr>
          </w:p>
        </w:tc>
        <w:tc>
          <w:tcPr>
            <w:tcW w:w="1280" w:type="dxa"/>
            <w:tcBorders>
              <w:top w:val="nil"/>
              <w:left w:val="nil"/>
              <w:bottom w:val="nil"/>
              <w:right w:val="nil"/>
            </w:tcBorders>
            <w:shd w:val="clear" w:color="auto" w:fill="auto"/>
            <w:noWrap/>
            <w:vAlign w:val="center"/>
          </w:tcPr>
          <w:p w:rsidR="0093652A" w:rsidRPr="002C241A" w:rsidRDefault="0093652A"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tcPr>
          <w:p w:rsidR="0093652A" w:rsidRPr="002C241A" w:rsidRDefault="0093652A"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tcPr>
          <w:p w:rsidR="0093652A" w:rsidRPr="002C241A" w:rsidRDefault="0093652A" w:rsidP="002C241A">
            <w:pPr>
              <w:jc w:val="right"/>
              <w:rPr>
                <w:rFonts w:eastAsia="Times New Roman" w:cs="Arial"/>
                <w:b/>
                <w:bCs/>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u w:val="single"/>
                <w:lang w:eastAsia="nl-NL"/>
              </w:rPr>
            </w:pPr>
            <w:r w:rsidRPr="002C241A">
              <w:rPr>
                <w:rFonts w:eastAsia="Times New Roman" w:cs="Arial"/>
                <w:b/>
                <w:bCs/>
                <w:color w:val="000000"/>
                <w:sz w:val="18"/>
                <w:szCs w:val="18"/>
                <w:u w:val="single"/>
                <w:lang w:eastAsia="nl-NL"/>
              </w:rPr>
              <w:t>Baten</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Cs/>
                <w:color w:val="000000"/>
                <w:sz w:val="18"/>
                <w:szCs w:val="18"/>
                <w:lang w:eastAsia="nl-NL"/>
              </w:rPr>
            </w:pP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b/>
                <w:bCs/>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Handhaving</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Cs/>
                <w:color w:val="000000"/>
                <w:sz w:val="18"/>
                <w:szCs w:val="18"/>
                <w:lang w:eastAsia="nl-NL"/>
              </w:rPr>
            </w:pP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201"/>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66310/34500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Handhaving: hogere vergoeding van derden in verband met dwangsommen.</w:t>
            </w:r>
          </w:p>
        </w:tc>
        <w:tc>
          <w:tcPr>
            <w:tcW w:w="1280" w:type="dxa"/>
            <w:tcBorders>
              <w:top w:val="nil"/>
              <w:left w:val="nil"/>
              <w:bottom w:val="nil"/>
              <w:right w:val="nil"/>
            </w:tcBorders>
            <w:shd w:val="clear" w:color="auto" w:fill="auto"/>
            <w:noWrap/>
            <w:vAlign w:val="center"/>
            <w:hideMark/>
          </w:tcPr>
          <w:p w:rsidR="002A5FB8" w:rsidRPr="002C241A" w:rsidRDefault="00780E6B" w:rsidP="002C241A">
            <w:pPr>
              <w:jc w:val="right"/>
              <w:rPr>
                <w:rFonts w:eastAsia="Times New Roman" w:cs="Arial"/>
                <w:color w:val="000000"/>
                <w:sz w:val="18"/>
                <w:szCs w:val="18"/>
                <w:lang w:eastAsia="nl-NL"/>
              </w:rPr>
            </w:pPr>
            <w:r>
              <w:rPr>
                <w:rFonts w:eastAsia="Times New Roman" w:cs="Arial"/>
                <w:color w:val="000000"/>
                <w:sz w:val="18"/>
                <w:szCs w:val="18"/>
                <w:lang w:eastAsia="nl-NL"/>
              </w:rPr>
              <w:t>22</w:t>
            </w:r>
            <w:r w:rsidR="002A5FB8" w:rsidRPr="002C241A">
              <w:rPr>
                <w:rFonts w:eastAsia="Times New Roman" w:cs="Arial"/>
                <w:color w:val="000000"/>
                <w:sz w:val="18"/>
                <w:szCs w:val="18"/>
                <w:lang w:eastAsia="nl-NL"/>
              </w:rPr>
              <w:t>.000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780E6B" w:rsidP="002C241A">
            <w:pPr>
              <w:jc w:val="right"/>
              <w:rPr>
                <w:rFonts w:eastAsia="Times New Roman" w:cs="Arial"/>
                <w:color w:val="000000"/>
                <w:sz w:val="18"/>
                <w:szCs w:val="18"/>
                <w:lang w:eastAsia="nl-NL"/>
              </w:rPr>
            </w:pPr>
            <w:r>
              <w:rPr>
                <w:rFonts w:eastAsia="Times New Roman" w:cs="Arial"/>
                <w:color w:val="000000"/>
                <w:sz w:val="18"/>
                <w:szCs w:val="18"/>
                <w:lang w:eastAsia="nl-NL"/>
              </w:rPr>
              <w:t>22</w:t>
            </w:r>
            <w:r w:rsidR="002A5FB8" w:rsidRPr="002C241A">
              <w:rPr>
                <w:rFonts w:eastAsia="Times New Roman" w:cs="Arial"/>
                <w:color w:val="000000"/>
                <w:sz w:val="18"/>
                <w:szCs w:val="18"/>
                <w:lang w:eastAsia="nl-NL"/>
              </w:rPr>
              <w:t>.000</w:t>
            </w:r>
          </w:p>
        </w:tc>
      </w:tr>
      <w:tr w:rsidR="002A5FB8" w:rsidRPr="008B7A49" w:rsidTr="00380A06">
        <w:trPr>
          <w:trHeight w:val="255"/>
        </w:trPr>
        <w:tc>
          <w:tcPr>
            <w:tcW w:w="9725" w:type="dxa"/>
            <w:gridSpan w:val="5"/>
            <w:tcBorders>
              <w:top w:val="nil"/>
              <w:left w:val="nil"/>
              <w:bottom w:val="nil"/>
              <w:right w:val="nil"/>
            </w:tcBorders>
            <w:shd w:val="clear" w:color="B8CCE4" w:fill="B8CCE4"/>
            <w:noWrap/>
            <w:vAlign w:val="bottom"/>
            <w:hideMark/>
          </w:tcPr>
          <w:p w:rsidR="002A5FB8" w:rsidRPr="002C241A" w:rsidRDefault="002A5FB8" w:rsidP="002A5FB8">
            <w:pPr>
              <w:rPr>
                <w:rFonts w:eastAsia="Times New Roman" w:cs="Arial"/>
                <w:b/>
                <w:bCs/>
                <w:color w:val="000000"/>
                <w:sz w:val="18"/>
                <w:szCs w:val="18"/>
                <w:lang w:eastAsia="nl-NL"/>
              </w:rPr>
            </w:pPr>
            <w:r w:rsidRPr="002C241A">
              <w:rPr>
                <w:rFonts w:eastAsia="Times New Roman" w:cs="Arial"/>
                <w:b/>
                <w:bCs/>
                <w:color w:val="000000"/>
                <w:sz w:val="18"/>
                <w:szCs w:val="18"/>
                <w:lang w:eastAsia="nl-NL"/>
              </w:rPr>
              <w:t xml:space="preserve">Totaal </w:t>
            </w:r>
            <w:r w:rsidR="0093652A">
              <w:rPr>
                <w:rFonts w:eastAsia="Times New Roman" w:cs="Arial"/>
                <w:b/>
                <w:bCs/>
                <w:color w:val="000000"/>
                <w:sz w:val="18"/>
                <w:szCs w:val="18"/>
                <w:lang w:eastAsia="nl-NL"/>
              </w:rPr>
              <w:t xml:space="preserve">Programma </w:t>
            </w:r>
            <w:r w:rsidRPr="002C241A">
              <w:rPr>
                <w:rFonts w:eastAsia="Times New Roman" w:cs="Arial"/>
                <w:b/>
                <w:bCs/>
                <w:color w:val="000000"/>
                <w:sz w:val="18"/>
                <w:szCs w:val="18"/>
                <w:lang w:eastAsia="nl-NL"/>
              </w:rPr>
              <w:t>5. Openbare orde en veiligheid</w:t>
            </w:r>
          </w:p>
        </w:tc>
        <w:tc>
          <w:tcPr>
            <w:tcW w:w="1280" w:type="dxa"/>
            <w:tcBorders>
              <w:top w:val="nil"/>
              <w:left w:val="nil"/>
              <w:bottom w:val="nil"/>
              <w:right w:val="nil"/>
            </w:tcBorders>
            <w:shd w:val="clear" w:color="B8CCE4" w:fill="B8CCE4"/>
            <w:noWrap/>
            <w:vAlign w:val="center"/>
            <w:hideMark/>
          </w:tcPr>
          <w:p w:rsidR="002A5FB8" w:rsidRPr="002C241A" w:rsidRDefault="007A091E" w:rsidP="002C241A">
            <w:pPr>
              <w:jc w:val="right"/>
              <w:rPr>
                <w:rFonts w:eastAsia="Times New Roman" w:cs="Arial"/>
                <w:b/>
                <w:bCs/>
                <w:color w:val="000000"/>
                <w:sz w:val="18"/>
                <w:szCs w:val="18"/>
                <w:lang w:eastAsia="nl-NL"/>
              </w:rPr>
            </w:pPr>
            <w:r>
              <w:rPr>
                <w:rFonts w:eastAsia="Times New Roman" w:cs="Arial"/>
                <w:b/>
                <w:bCs/>
                <w:color w:val="000000"/>
                <w:sz w:val="18"/>
                <w:szCs w:val="18"/>
                <w:lang w:eastAsia="nl-NL"/>
              </w:rPr>
              <w:t>-</w:t>
            </w:r>
            <w:r w:rsidR="00780E6B">
              <w:rPr>
                <w:rFonts w:eastAsia="Times New Roman" w:cs="Arial"/>
                <w:b/>
                <w:bCs/>
                <w:color w:val="000000"/>
                <w:sz w:val="18"/>
                <w:szCs w:val="18"/>
                <w:lang w:eastAsia="nl-NL"/>
              </w:rPr>
              <w:t>1</w:t>
            </w:r>
            <w:r w:rsidR="002A5FB8" w:rsidRPr="002C241A">
              <w:rPr>
                <w:rFonts w:eastAsia="Times New Roman" w:cs="Arial"/>
                <w:b/>
                <w:bCs/>
                <w:color w:val="000000"/>
                <w:sz w:val="18"/>
                <w:szCs w:val="18"/>
                <w:lang w:eastAsia="nl-NL"/>
              </w:rPr>
              <w:t>.000</w:t>
            </w:r>
          </w:p>
        </w:tc>
        <w:tc>
          <w:tcPr>
            <w:tcW w:w="1340" w:type="dxa"/>
            <w:tcBorders>
              <w:top w:val="nil"/>
              <w:left w:val="nil"/>
              <w:bottom w:val="nil"/>
              <w:right w:val="nil"/>
            </w:tcBorders>
            <w:shd w:val="clear" w:color="B8CCE4" w:fill="B8CCE4"/>
            <w:noWrap/>
            <w:vAlign w:val="center"/>
            <w:hideMark/>
          </w:tcPr>
          <w:p w:rsidR="002A5FB8" w:rsidRPr="002C241A" w:rsidRDefault="002A5FB8" w:rsidP="002C241A">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0</w:t>
            </w:r>
          </w:p>
        </w:tc>
        <w:tc>
          <w:tcPr>
            <w:tcW w:w="1340" w:type="dxa"/>
            <w:tcBorders>
              <w:top w:val="nil"/>
              <w:left w:val="nil"/>
              <w:bottom w:val="nil"/>
              <w:right w:val="nil"/>
            </w:tcBorders>
            <w:shd w:val="clear" w:color="B8CCE4" w:fill="B8CCE4"/>
            <w:noWrap/>
            <w:vAlign w:val="center"/>
            <w:hideMark/>
          </w:tcPr>
          <w:p w:rsidR="002A5FB8" w:rsidRPr="002C241A" w:rsidRDefault="007A091E" w:rsidP="002C241A">
            <w:pPr>
              <w:jc w:val="right"/>
              <w:rPr>
                <w:rFonts w:eastAsia="Times New Roman" w:cs="Arial"/>
                <w:b/>
                <w:bCs/>
                <w:color w:val="000000"/>
                <w:sz w:val="18"/>
                <w:szCs w:val="18"/>
                <w:lang w:eastAsia="nl-NL"/>
              </w:rPr>
            </w:pPr>
            <w:r>
              <w:rPr>
                <w:rFonts w:eastAsia="Times New Roman" w:cs="Arial"/>
                <w:b/>
                <w:bCs/>
                <w:color w:val="000000"/>
                <w:sz w:val="18"/>
                <w:szCs w:val="18"/>
                <w:lang w:eastAsia="nl-NL"/>
              </w:rPr>
              <w:t>-</w:t>
            </w:r>
            <w:r w:rsidR="00780E6B">
              <w:rPr>
                <w:rFonts w:eastAsia="Times New Roman" w:cs="Arial"/>
                <w:b/>
                <w:bCs/>
                <w:color w:val="000000"/>
                <w:sz w:val="18"/>
                <w:szCs w:val="18"/>
                <w:lang w:eastAsia="nl-NL"/>
              </w:rPr>
              <w:t>1</w:t>
            </w:r>
            <w:r w:rsidR="002A5FB8" w:rsidRPr="002C241A">
              <w:rPr>
                <w:rFonts w:eastAsia="Times New Roman" w:cs="Arial"/>
                <w:b/>
                <w:bCs/>
                <w:color w:val="000000"/>
                <w:sz w:val="18"/>
                <w:szCs w:val="18"/>
                <w:lang w:eastAsia="nl-NL"/>
              </w:rPr>
              <w:t>.000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63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28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r>
      <w:tr w:rsidR="002A5FB8" w:rsidRPr="008B7A49" w:rsidTr="00380A06">
        <w:trPr>
          <w:trHeight w:val="255"/>
        </w:trPr>
        <w:tc>
          <w:tcPr>
            <w:tcW w:w="9725" w:type="dxa"/>
            <w:gridSpan w:val="5"/>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r w:rsidRPr="008B7A49">
              <w:rPr>
                <w:rFonts w:eastAsia="Times New Roman" w:cs="Arial"/>
                <w:b/>
                <w:bCs/>
                <w:color w:val="000000"/>
                <w:sz w:val="20"/>
                <w:szCs w:val="20"/>
                <w:lang w:eastAsia="nl-NL"/>
              </w:rPr>
              <w:t>6. Bestuur &amp; Dienstverlening</w:t>
            </w:r>
          </w:p>
        </w:tc>
        <w:tc>
          <w:tcPr>
            <w:tcW w:w="128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2A5FB8" w:rsidRPr="008B7A49" w:rsidRDefault="002A5FB8" w:rsidP="002A5FB8">
            <w:pPr>
              <w:rPr>
                <w:rFonts w:eastAsia="Times New Roman" w:cs="Arial"/>
                <w:b/>
                <w:bCs/>
                <w:color w:val="000000"/>
                <w:sz w:val="20"/>
                <w:szCs w:val="20"/>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93652A" w:rsidRDefault="002A5FB8" w:rsidP="002A5FB8">
            <w:pPr>
              <w:rPr>
                <w:rFonts w:eastAsia="Times New Roman" w:cs="Arial"/>
                <w:b/>
                <w:bCs/>
                <w:color w:val="000000"/>
                <w:sz w:val="18"/>
                <w:szCs w:val="18"/>
                <w:u w:val="single"/>
                <w:lang w:eastAsia="nl-NL"/>
              </w:rPr>
            </w:pPr>
            <w:r w:rsidRPr="0093652A">
              <w:rPr>
                <w:rFonts w:eastAsia="Times New Roman" w:cs="Arial"/>
                <w:b/>
                <w:bCs/>
                <w:color w:val="000000"/>
                <w:sz w:val="18"/>
                <w:szCs w:val="18"/>
                <w:u w:val="single"/>
                <w:lang w:eastAsia="nl-NL"/>
              </w:rPr>
              <w:t>Lasten</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Huisvesting</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69101/34420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Huisvesting: lagere representatiekosten.</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5.000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5.000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69101/34510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 xml:space="preserve">Huisvesting: lagere bureau- en kopieerkosten. </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69104/34300</w:t>
            </w:r>
          </w:p>
        </w:tc>
        <w:tc>
          <w:tcPr>
            <w:tcW w:w="6380" w:type="dxa"/>
            <w:tcBorders>
              <w:top w:val="nil"/>
              <w:left w:val="nil"/>
              <w:bottom w:val="nil"/>
              <w:right w:val="nil"/>
            </w:tcBorders>
            <w:shd w:val="clear" w:color="auto" w:fill="auto"/>
            <w:vAlign w:val="bottom"/>
            <w:hideMark/>
          </w:tcPr>
          <w:p w:rsidR="002A5FB8" w:rsidRPr="002C241A" w:rsidRDefault="002A5FB8" w:rsidP="00EA0104">
            <w:pPr>
              <w:rPr>
                <w:rFonts w:eastAsia="Times New Roman" w:cs="Arial"/>
                <w:bCs/>
                <w:color w:val="000000"/>
                <w:sz w:val="18"/>
                <w:szCs w:val="18"/>
                <w:lang w:eastAsia="nl-NL"/>
              </w:rPr>
            </w:pPr>
            <w:r w:rsidRPr="002C241A">
              <w:rPr>
                <w:rFonts w:eastAsia="Times New Roman" w:cs="Arial"/>
                <w:bCs/>
                <w:color w:val="000000"/>
                <w:sz w:val="18"/>
                <w:szCs w:val="18"/>
                <w:lang w:eastAsia="nl-NL"/>
              </w:rPr>
              <w:t xml:space="preserve">Het resterende budget voor mobiel </w:t>
            </w:r>
            <w:r w:rsidR="00EA0104">
              <w:rPr>
                <w:rFonts w:eastAsia="Times New Roman" w:cs="Arial"/>
                <w:bCs/>
                <w:color w:val="000000"/>
                <w:sz w:val="18"/>
                <w:szCs w:val="18"/>
                <w:lang w:eastAsia="nl-NL"/>
              </w:rPr>
              <w:t>werken</w:t>
            </w:r>
            <w:r w:rsidRPr="002C241A">
              <w:rPr>
                <w:rFonts w:eastAsia="Times New Roman" w:cs="Arial"/>
                <w:bCs/>
                <w:color w:val="000000"/>
                <w:sz w:val="18"/>
                <w:szCs w:val="18"/>
                <w:lang w:eastAsia="nl-NL"/>
              </w:rPr>
              <w:t xml:space="preserve"> is dit jaar niet nodig.</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30.000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30.000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Dienstverlening</w:t>
            </w:r>
          </w:p>
        </w:tc>
        <w:tc>
          <w:tcPr>
            <w:tcW w:w="6380"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817"/>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60300/41100</w:t>
            </w:r>
          </w:p>
        </w:tc>
        <w:tc>
          <w:tcPr>
            <w:tcW w:w="6380" w:type="dxa"/>
            <w:tcBorders>
              <w:top w:val="nil"/>
              <w:left w:val="nil"/>
              <w:bottom w:val="nil"/>
              <w:right w:val="nil"/>
            </w:tcBorders>
            <w:shd w:val="clear" w:color="auto" w:fill="auto"/>
            <w:vAlign w:val="bottom"/>
            <w:hideMark/>
          </w:tcPr>
          <w:p w:rsidR="002A5FB8" w:rsidRPr="002C241A" w:rsidRDefault="00AA781E" w:rsidP="002A5FB8">
            <w:pPr>
              <w:rPr>
                <w:rFonts w:eastAsia="Times New Roman" w:cs="Arial"/>
                <w:bCs/>
                <w:color w:val="000000"/>
                <w:sz w:val="18"/>
                <w:szCs w:val="18"/>
                <w:lang w:eastAsia="nl-NL"/>
              </w:rPr>
            </w:pPr>
            <w:r w:rsidRPr="00AA781E">
              <w:rPr>
                <w:rFonts w:eastAsia="Times New Roman" w:cs="Arial"/>
                <w:bCs/>
                <w:color w:val="000000"/>
                <w:sz w:val="18"/>
                <w:szCs w:val="18"/>
                <w:lang w:eastAsia="nl-NL"/>
              </w:rPr>
              <w:t>Naar verwachting wordt het aantal af te geven reisdocumenten dit jaar lager. Per af te geven document draagt de gemeente een deel van de ontvangen leges af aan het Rijk, de afdracht zal lager zijn. In de primitieve begroting 2019-2022 is de lagere afdracht leges Rijk verwerkt.</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28.000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28.000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Algemeen bestuur</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877"/>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60202/00000</w:t>
            </w:r>
          </w:p>
        </w:tc>
        <w:tc>
          <w:tcPr>
            <w:tcW w:w="6380" w:type="dxa"/>
            <w:tcBorders>
              <w:top w:val="nil"/>
              <w:left w:val="nil"/>
              <w:bottom w:val="nil"/>
              <w:right w:val="nil"/>
            </w:tcBorders>
            <w:shd w:val="clear" w:color="auto" w:fill="auto"/>
            <w:vAlign w:val="bottom"/>
            <w:hideMark/>
          </w:tcPr>
          <w:p w:rsidR="002A5FB8" w:rsidRPr="002C241A" w:rsidRDefault="00AA781E" w:rsidP="002A5FB8">
            <w:pPr>
              <w:rPr>
                <w:rFonts w:eastAsia="Times New Roman" w:cs="Arial"/>
                <w:bCs/>
                <w:color w:val="000000"/>
                <w:sz w:val="18"/>
                <w:szCs w:val="18"/>
                <w:lang w:eastAsia="nl-NL"/>
              </w:rPr>
            </w:pPr>
            <w:r w:rsidRPr="00AA781E">
              <w:rPr>
                <w:rFonts w:eastAsia="Times New Roman" w:cs="Arial"/>
                <w:bCs/>
                <w:color w:val="000000"/>
                <w:sz w:val="18"/>
                <w:szCs w:val="18"/>
                <w:lang w:eastAsia="nl-NL"/>
              </w:rPr>
              <w:t>Er zijn extra kosten gemaakt voor de organisatie van de verkiezing gemeenteraad en referendum. Betreft o.a. aanschaf stemhokjes en -bussen, de vergoeding die tellers voor het eerst hebben ontvangen (in de vorm van een waardebon) en overige kosten door de organisatie van ook een referendum. Via het gemeentefonds is een vergoeding van € 9.000 ontvangen voor het referendum. Deze is bij de meicirculaire toegevoegd aan de algemene middelen.</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-14.500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-14.500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Dagelijks bestuur</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480"/>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60001/12000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Betreft wachtgeld oud-wethouders voor 2018. Het structurele gevolg is verwerkt in de primitieve begroting 2019.</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-83.000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-83.000</w:t>
            </w:r>
          </w:p>
        </w:tc>
      </w:tr>
      <w:tr w:rsidR="002A5FB8" w:rsidRPr="008B7A49" w:rsidTr="00380A06">
        <w:trPr>
          <w:trHeight w:val="255"/>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2A5FB8" w:rsidRPr="002C241A" w:rsidRDefault="002A5FB8"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Organisatorische kostenplaatsen</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p>
        </w:tc>
      </w:tr>
      <w:tr w:rsidR="002A5FB8" w:rsidRPr="008B7A49" w:rsidTr="00380A06">
        <w:trPr>
          <w:trHeight w:val="480"/>
        </w:trPr>
        <w:tc>
          <w:tcPr>
            <w:tcW w:w="554" w:type="dxa"/>
            <w:tcBorders>
              <w:top w:val="nil"/>
              <w:left w:val="nil"/>
              <w:bottom w:val="nil"/>
              <w:right w:val="nil"/>
            </w:tcBorders>
            <w:shd w:val="clear" w:color="auto" w:fill="auto"/>
            <w:noWrap/>
            <w:vAlign w:val="bottom"/>
            <w:hideMark/>
          </w:tcPr>
          <w:p w:rsidR="002A5FB8" w:rsidRPr="008B7A49" w:rsidRDefault="002A5FB8"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2A5FB8" w:rsidRPr="002C241A" w:rsidRDefault="002A5FB8"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2A5FB8" w:rsidRPr="002C241A" w:rsidRDefault="002A5FB8" w:rsidP="002C241A">
            <w:pPr>
              <w:rPr>
                <w:rFonts w:eastAsia="Times New Roman" w:cs="Arial"/>
                <w:color w:val="000000"/>
                <w:sz w:val="18"/>
                <w:szCs w:val="18"/>
                <w:lang w:eastAsia="nl-NL"/>
              </w:rPr>
            </w:pPr>
            <w:r w:rsidRPr="002C241A">
              <w:rPr>
                <w:rFonts w:eastAsia="Times New Roman" w:cs="Arial"/>
                <w:color w:val="000000"/>
                <w:sz w:val="18"/>
                <w:szCs w:val="18"/>
                <w:lang w:eastAsia="nl-NL"/>
              </w:rPr>
              <w:t>69302/11000</w:t>
            </w:r>
          </w:p>
        </w:tc>
        <w:tc>
          <w:tcPr>
            <w:tcW w:w="6380" w:type="dxa"/>
            <w:tcBorders>
              <w:top w:val="nil"/>
              <w:left w:val="nil"/>
              <w:bottom w:val="nil"/>
              <w:right w:val="nil"/>
            </w:tcBorders>
            <w:shd w:val="clear" w:color="auto" w:fill="auto"/>
            <w:vAlign w:val="bottom"/>
            <w:hideMark/>
          </w:tcPr>
          <w:p w:rsidR="002A5FB8" w:rsidRPr="002C241A" w:rsidRDefault="002A5FB8"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Verlenging inzet extra capaciteit en deskundigheid in verband met plan van aanpak woningbouw Ooststellingwerf.</w:t>
            </w:r>
          </w:p>
        </w:tc>
        <w:tc>
          <w:tcPr>
            <w:tcW w:w="128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-36.000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2A5FB8" w:rsidRPr="002C241A" w:rsidRDefault="002A5FB8"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-36.000</w:t>
            </w:r>
          </w:p>
        </w:tc>
      </w:tr>
      <w:tr w:rsidR="00380A06" w:rsidRPr="008B7A49" w:rsidTr="00380A06">
        <w:trPr>
          <w:trHeight w:val="255"/>
        </w:trPr>
        <w:tc>
          <w:tcPr>
            <w:tcW w:w="554" w:type="dxa"/>
            <w:tcBorders>
              <w:top w:val="nil"/>
              <w:left w:val="nil"/>
              <w:bottom w:val="nil"/>
              <w:right w:val="nil"/>
            </w:tcBorders>
            <w:shd w:val="clear" w:color="auto" w:fill="auto"/>
            <w:noWrap/>
            <w:vAlign w:val="bottom"/>
          </w:tcPr>
          <w:p w:rsidR="00380A06" w:rsidRPr="008B7A49" w:rsidRDefault="00380A06"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tcPr>
          <w:p w:rsidR="00380A06" w:rsidRPr="002C241A" w:rsidRDefault="00380A06" w:rsidP="00380A06">
            <w:pPr>
              <w:ind w:firstLineChars="100" w:firstLine="181"/>
              <w:rPr>
                <w:rFonts w:eastAsia="Times New Roman" w:cs="Arial"/>
                <w:b/>
                <w:bCs/>
                <w:color w:val="000000"/>
                <w:sz w:val="18"/>
                <w:szCs w:val="18"/>
                <w:lang w:eastAsia="nl-NL"/>
              </w:rPr>
            </w:pPr>
            <w:r w:rsidRPr="00380A06">
              <w:rPr>
                <w:rFonts w:eastAsia="Times New Roman" w:cs="Arial"/>
                <w:b/>
                <w:bCs/>
                <w:color w:val="000000"/>
                <w:sz w:val="18"/>
                <w:szCs w:val="18"/>
                <w:lang w:eastAsia="nl-NL"/>
              </w:rPr>
              <w:t>OWO kostenplaatsen</w:t>
            </w:r>
          </w:p>
        </w:tc>
        <w:tc>
          <w:tcPr>
            <w:tcW w:w="1280" w:type="dxa"/>
            <w:tcBorders>
              <w:top w:val="nil"/>
              <w:left w:val="nil"/>
              <w:bottom w:val="nil"/>
              <w:right w:val="nil"/>
            </w:tcBorders>
            <w:shd w:val="clear" w:color="auto" w:fill="auto"/>
            <w:noWrap/>
            <w:vAlign w:val="center"/>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380A06" w:rsidRPr="002C241A" w:rsidRDefault="00380A06" w:rsidP="002C241A">
            <w:pPr>
              <w:jc w:val="right"/>
              <w:rPr>
                <w:rFonts w:eastAsia="Times New Roman" w:cs="Arial"/>
                <w:color w:val="000000"/>
                <w:sz w:val="18"/>
                <w:szCs w:val="18"/>
                <w:lang w:eastAsia="nl-NL"/>
              </w:rPr>
            </w:pPr>
          </w:p>
        </w:tc>
      </w:tr>
      <w:tr w:rsidR="00380A06" w:rsidRPr="008B7A49" w:rsidTr="00380A06">
        <w:trPr>
          <w:trHeight w:val="255"/>
        </w:trPr>
        <w:tc>
          <w:tcPr>
            <w:tcW w:w="554" w:type="dxa"/>
            <w:tcBorders>
              <w:top w:val="nil"/>
              <w:left w:val="nil"/>
              <w:bottom w:val="nil"/>
              <w:right w:val="nil"/>
            </w:tcBorders>
            <w:shd w:val="clear" w:color="auto" w:fill="auto"/>
            <w:noWrap/>
            <w:vAlign w:val="bottom"/>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tcPr>
          <w:p w:rsidR="00380A06" w:rsidRPr="00380A06" w:rsidRDefault="00380A06" w:rsidP="00380A06">
            <w:pPr>
              <w:rPr>
                <w:rFonts w:eastAsia="Times New Roman" w:cs="Arial"/>
                <w:color w:val="000000"/>
                <w:sz w:val="20"/>
                <w:szCs w:val="20"/>
                <w:lang w:eastAsia="nl-NL"/>
              </w:rPr>
            </w:pPr>
            <w:r w:rsidRPr="00380A06">
              <w:rPr>
                <w:rFonts w:eastAsia="Times New Roman" w:cs="Arial"/>
                <w:color w:val="000000"/>
                <w:sz w:val="20"/>
                <w:szCs w:val="20"/>
                <w:lang w:eastAsia="nl-NL"/>
              </w:rPr>
              <w:t xml:space="preserve">    </w:t>
            </w:r>
          </w:p>
        </w:tc>
        <w:tc>
          <w:tcPr>
            <w:tcW w:w="2168" w:type="dxa"/>
            <w:tcBorders>
              <w:top w:val="nil"/>
              <w:left w:val="nil"/>
              <w:bottom w:val="nil"/>
              <w:right w:val="nil"/>
            </w:tcBorders>
            <w:shd w:val="clear" w:color="auto" w:fill="auto"/>
            <w:vAlign w:val="bottom"/>
          </w:tcPr>
          <w:p w:rsidR="00380A06" w:rsidRPr="00380A06" w:rsidRDefault="00380A06" w:rsidP="00380A06">
            <w:pPr>
              <w:rPr>
                <w:rFonts w:eastAsia="Times New Roman" w:cs="Arial"/>
                <w:color w:val="000000"/>
                <w:sz w:val="20"/>
                <w:szCs w:val="20"/>
                <w:lang w:eastAsia="nl-NL"/>
              </w:rPr>
            </w:pPr>
            <w:r w:rsidRPr="00B25233">
              <w:rPr>
                <w:rFonts w:eastAsia="Times New Roman" w:cs="Arial"/>
                <w:color w:val="000000"/>
                <w:sz w:val="18"/>
                <w:szCs w:val="18"/>
                <w:lang w:eastAsia="nl-NL"/>
              </w:rPr>
              <w:t>69356/34300</w:t>
            </w:r>
          </w:p>
        </w:tc>
        <w:tc>
          <w:tcPr>
            <w:tcW w:w="6449" w:type="dxa"/>
            <w:gridSpan w:val="2"/>
            <w:tcBorders>
              <w:top w:val="nil"/>
              <w:left w:val="nil"/>
              <w:bottom w:val="nil"/>
              <w:right w:val="nil"/>
            </w:tcBorders>
            <w:shd w:val="clear" w:color="auto" w:fill="auto"/>
            <w:vAlign w:val="bottom"/>
          </w:tcPr>
          <w:p w:rsidR="00380A06" w:rsidRPr="00B25233" w:rsidRDefault="00380A06" w:rsidP="00DB13E7">
            <w:pPr>
              <w:rPr>
                <w:rFonts w:eastAsia="Times New Roman" w:cs="Arial"/>
                <w:bCs/>
                <w:color w:val="000000"/>
                <w:sz w:val="18"/>
                <w:szCs w:val="18"/>
                <w:lang w:eastAsia="nl-NL"/>
              </w:rPr>
            </w:pPr>
            <w:r w:rsidRPr="00B25233">
              <w:rPr>
                <w:rFonts w:eastAsia="Times New Roman" w:cs="Arial"/>
                <w:bCs/>
                <w:color w:val="000000"/>
                <w:sz w:val="18"/>
                <w:szCs w:val="18"/>
                <w:lang w:eastAsia="nl-NL"/>
              </w:rPr>
              <w:t>BVI: hogere lasten bezwaar en beroep. Hier staat voor 2/3 een vergoeding van OWO tegenover. De structurele gevolgen zijn verwerkt in de begroting 2019.</w:t>
            </w:r>
          </w:p>
        </w:tc>
        <w:tc>
          <w:tcPr>
            <w:tcW w:w="1280" w:type="dxa"/>
            <w:tcBorders>
              <w:top w:val="nil"/>
              <w:left w:val="nil"/>
              <w:bottom w:val="nil"/>
              <w:right w:val="nil"/>
            </w:tcBorders>
            <w:shd w:val="clear" w:color="auto" w:fill="auto"/>
            <w:noWrap/>
            <w:vAlign w:val="center"/>
          </w:tcPr>
          <w:p w:rsidR="00380A06" w:rsidRPr="00380A06" w:rsidRDefault="00380A06" w:rsidP="002C241A">
            <w:pPr>
              <w:jc w:val="right"/>
              <w:rPr>
                <w:rFonts w:eastAsia="Times New Roman" w:cs="Arial"/>
                <w:color w:val="000000"/>
                <w:sz w:val="18"/>
                <w:szCs w:val="18"/>
                <w:lang w:eastAsia="nl-NL"/>
              </w:rPr>
            </w:pPr>
            <w:r w:rsidRPr="00380A06">
              <w:rPr>
                <w:rFonts w:eastAsia="Times New Roman" w:cs="Arial"/>
                <w:color w:val="000000"/>
                <w:sz w:val="18"/>
                <w:szCs w:val="18"/>
                <w:lang w:eastAsia="nl-NL"/>
              </w:rPr>
              <w:t>-37.500</w:t>
            </w:r>
          </w:p>
        </w:tc>
        <w:tc>
          <w:tcPr>
            <w:tcW w:w="1340" w:type="dxa"/>
            <w:tcBorders>
              <w:top w:val="nil"/>
              <w:left w:val="nil"/>
              <w:bottom w:val="nil"/>
              <w:right w:val="nil"/>
            </w:tcBorders>
            <w:shd w:val="clear" w:color="auto" w:fill="auto"/>
            <w:noWrap/>
            <w:vAlign w:val="center"/>
          </w:tcPr>
          <w:p w:rsidR="00380A06" w:rsidRPr="00380A06" w:rsidRDefault="00380A06" w:rsidP="002C241A">
            <w:pPr>
              <w:jc w:val="right"/>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center"/>
          </w:tcPr>
          <w:p w:rsidR="00380A06" w:rsidRPr="00380A06" w:rsidRDefault="00380A06" w:rsidP="002C241A">
            <w:pPr>
              <w:jc w:val="right"/>
              <w:rPr>
                <w:rFonts w:eastAsia="Times New Roman" w:cs="Arial"/>
                <w:color w:val="000000"/>
                <w:sz w:val="20"/>
                <w:szCs w:val="20"/>
                <w:lang w:eastAsia="nl-NL"/>
              </w:rPr>
            </w:pPr>
            <w:r w:rsidRPr="00380A06">
              <w:rPr>
                <w:rFonts w:eastAsia="Times New Roman" w:cs="Arial"/>
                <w:color w:val="000000"/>
                <w:sz w:val="18"/>
                <w:szCs w:val="18"/>
                <w:lang w:eastAsia="nl-NL"/>
              </w:rPr>
              <w:t>-37.500</w:t>
            </w:r>
          </w:p>
        </w:tc>
      </w:tr>
      <w:tr w:rsidR="00380A06" w:rsidRPr="008B7A49" w:rsidTr="00380A06">
        <w:trPr>
          <w:trHeight w:val="255"/>
        </w:trPr>
        <w:tc>
          <w:tcPr>
            <w:tcW w:w="554" w:type="dxa"/>
            <w:tcBorders>
              <w:top w:val="nil"/>
              <w:left w:val="nil"/>
              <w:bottom w:val="nil"/>
              <w:right w:val="nil"/>
            </w:tcBorders>
            <w:shd w:val="clear" w:color="auto" w:fill="auto"/>
            <w:noWrap/>
            <w:vAlign w:val="bottom"/>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tcPr>
          <w:p w:rsidR="00380A06" w:rsidRPr="002C241A" w:rsidRDefault="00380A06" w:rsidP="002C241A">
            <w:pPr>
              <w:ind w:firstLineChars="100" w:firstLine="181"/>
              <w:rPr>
                <w:rFonts w:eastAsia="Times New Roman" w:cs="Arial"/>
                <w:b/>
                <w:bCs/>
                <w:color w:val="000000"/>
                <w:sz w:val="18"/>
                <w:szCs w:val="18"/>
                <w:lang w:eastAsia="nl-NL"/>
              </w:rPr>
            </w:pPr>
          </w:p>
        </w:tc>
        <w:tc>
          <w:tcPr>
            <w:tcW w:w="2168" w:type="dxa"/>
            <w:tcBorders>
              <w:top w:val="nil"/>
              <w:left w:val="nil"/>
              <w:bottom w:val="nil"/>
              <w:right w:val="nil"/>
            </w:tcBorders>
            <w:shd w:val="clear" w:color="auto" w:fill="auto"/>
            <w:vAlign w:val="bottom"/>
          </w:tcPr>
          <w:p w:rsidR="00380A06" w:rsidRPr="002C241A" w:rsidRDefault="00380A06" w:rsidP="00380A06">
            <w:pPr>
              <w:rPr>
                <w:rFonts w:eastAsia="Times New Roman" w:cs="Arial"/>
                <w:b/>
                <w:bCs/>
                <w:color w:val="000000"/>
                <w:sz w:val="18"/>
                <w:szCs w:val="18"/>
                <w:lang w:eastAsia="nl-NL"/>
              </w:rPr>
            </w:pPr>
            <w:r w:rsidRPr="00B25233">
              <w:rPr>
                <w:rFonts w:eastAsia="Times New Roman" w:cs="Arial"/>
                <w:color w:val="000000"/>
                <w:sz w:val="18"/>
                <w:szCs w:val="18"/>
                <w:lang w:eastAsia="nl-NL"/>
              </w:rPr>
              <w:t>69357/34300</w:t>
            </w:r>
          </w:p>
        </w:tc>
        <w:tc>
          <w:tcPr>
            <w:tcW w:w="6449" w:type="dxa"/>
            <w:gridSpan w:val="2"/>
            <w:tcBorders>
              <w:top w:val="nil"/>
              <w:left w:val="nil"/>
              <w:bottom w:val="nil"/>
              <w:right w:val="nil"/>
            </w:tcBorders>
            <w:shd w:val="clear" w:color="auto" w:fill="auto"/>
            <w:vAlign w:val="bottom"/>
          </w:tcPr>
          <w:p w:rsidR="00380A06" w:rsidRPr="002C241A" w:rsidRDefault="00380A06" w:rsidP="00380A06">
            <w:pPr>
              <w:rPr>
                <w:rFonts w:eastAsia="Times New Roman" w:cs="Arial"/>
                <w:b/>
                <w:bCs/>
                <w:color w:val="000000"/>
                <w:sz w:val="18"/>
                <w:szCs w:val="18"/>
                <w:lang w:eastAsia="nl-NL"/>
              </w:rPr>
            </w:pPr>
            <w:r w:rsidRPr="00B25233">
              <w:rPr>
                <w:rFonts w:eastAsia="Times New Roman" w:cs="Arial"/>
                <w:bCs/>
                <w:color w:val="000000"/>
                <w:sz w:val="18"/>
                <w:szCs w:val="18"/>
                <w:lang w:eastAsia="nl-NL"/>
              </w:rPr>
              <w:t>BVI: hogere lasten bezwaar en beroep. Hier staat voor 2/3 een vergoeding van OWO tegenover. De structurele gevolgen zijn verwerkt in de begroting 2019.</w:t>
            </w:r>
          </w:p>
        </w:tc>
        <w:tc>
          <w:tcPr>
            <w:tcW w:w="1280" w:type="dxa"/>
            <w:tcBorders>
              <w:top w:val="nil"/>
              <w:left w:val="nil"/>
              <w:bottom w:val="nil"/>
              <w:right w:val="nil"/>
            </w:tcBorders>
            <w:shd w:val="clear" w:color="auto" w:fill="auto"/>
            <w:noWrap/>
            <w:vAlign w:val="center"/>
          </w:tcPr>
          <w:p w:rsidR="00380A06" w:rsidRPr="002C241A" w:rsidRDefault="00380A06" w:rsidP="002C241A">
            <w:pPr>
              <w:jc w:val="right"/>
              <w:rPr>
                <w:rFonts w:eastAsia="Times New Roman" w:cs="Arial"/>
                <w:color w:val="000000"/>
                <w:sz w:val="18"/>
                <w:szCs w:val="18"/>
                <w:lang w:eastAsia="nl-NL"/>
              </w:rPr>
            </w:pPr>
            <w:r w:rsidRPr="00380A06">
              <w:rPr>
                <w:rFonts w:eastAsia="Times New Roman" w:cs="Arial"/>
                <w:color w:val="000000"/>
                <w:sz w:val="18"/>
                <w:szCs w:val="18"/>
                <w:lang w:eastAsia="nl-NL"/>
              </w:rPr>
              <w:t>-37.500</w:t>
            </w:r>
          </w:p>
        </w:tc>
        <w:tc>
          <w:tcPr>
            <w:tcW w:w="1340" w:type="dxa"/>
            <w:tcBorders>
              <w:top w:val="nil"/>
              <w:left w:val="nil"/>
              <w:bottom w:val="nil"/>
              <w:right w:val="nil"/>
            </w:tcBorders>
            <w:shd w:val="clear" w:color="auto" w:fill="auto"/>
            <w:noWrap/>
            <w:vAlign w:val="center"/>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380A06" w:rsidRPr="002C241A" w:rsidRDefault="00380A06" w:rsidP="002C241A">
            <w:pPr>
              <w:jc w:val="right"/>
              <w:rPr>
                <w:rFonts w:eastAsia="Times New Roman" w:cs="Arial"/>
                <w:color w:val="000000"/>
                <w:sz w:val="18"/>
                <w:szCs w:val="18"/>
                <w:lang w:eastAsia="nl-NL"/>
              </w:rPr>
            </w:pPr>
            <w:r w:rsidRPr="00380A06">
              <w:rPr>
                <w:rFonts w:eastAsia="Times New Roman" w:cs="Arial"/>
                <w:color w:val="000000"/>
                <w:sz w:val="18"/>
                <w:szCs w:val="18"/>
                <w:lang w:eastAsia="nl-NL"/>
              </w:rPr>
              <w:t>-37.500</w:t>
            </w:r>
          </w:p>
        </w:tc>
      </w:tr>
      <w:tr w:rsidR="00380A06" w:rsidRPr="008B7A49" w:rsidTr="00380A06">
        <w:trPr>
          <w:trHeight w:val="255"/>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380A06" w:rsidRPr="002C241A" w:rsidRDefault="00380A06"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Saldo financieringsfunctie</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r>
      <w:tr w:rsidR="00380A06" w:rsidRPr="008B7A49" w:rsidTr="00380A06">
        <w:trPr>
          <w:trHeight w:val="480"/>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380A06" w:rsidRPr="002C241A" w:rsidRDefault="00380A06" w:rsidP="002C241A">
            <w:pPr>
              <w:rPr>
                <w:rFonts w:eastAsia="Times New Roman" w:cs="Arial"/>
                <w:color w:val="000000"/>
                <w:sz w:val="18"/>
                <w:szCs w:val="18"/>
                <w:lang w:eastAsia="nl-NL"/>
              </w:rPr>
            </w:pPr>
            <w:r w:rsidRPr="002C241A">
              <w:rPr>
                <w:rFonts w:eastAsia="Times New Roman" w:cs="Arial"/>
                <w:color w:val="000000"/>
                <w:sz w:val="18"/>
                <w:szCs w:val="18"/>
                <w:lang w:eastAsia="nl-NL"/>
              </w:rPr>
              <w:t>69250/21000</w:t>
            </w:r>
          </w:p>
        </w:tc>
        <w:tc>
          <w:tcPr>
            <w:tcW w:w="6380" w:type="dxa"/>
            <w:tcBorders>
              <w:top w:val="nil"/>
              <w:left w:val="nil"/>
              <w:bottom w:val="nil"/>
              <w:right w:val="nil"/>
            </w:tcBorders>
            <w:shd w:val="clear" w:color="auto" w:fill="auto"/>
            <w:vAlign w:val="bottom"/>
            <w:hideMark/>
          </w:tcPr>
          <w:p w:rsidR="00380A06" w:rsidRPr="002C241A" w:rsidRDefault="00380A06"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Op basis van de huidige liquiditeitsprognose is een deel van het beschikbare budget voor rentelasten kort geld niet nodig.</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95.000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95.000</w:t>
            </w:r>
          </w:p>
        </w:tc>
      </w:tr>
      <w:tr w:rsidR="00380A06" w:rsidRPr="008B7A49" w:rsidTr="00380A06">
        <w:trPr>
          <w:trHeight w:val="255"/>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380A06" w:rsidRPr="002C241A" w:rsidRDefault="00380A06"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IP Advies en ondersteuning</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r>
      <w:tr w:rsidR="00380A06" w:rsidRPr="008B7A49" w:rsidTr="00380A06">
        <w:trPr>
          <w:trHeight w:val="480"/>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380A06" w:rsidRPr="002C241A" w:rsidRDefault="00380A06" w:rsidP="002C241A">
            <w:pPr>
              <w:rPr>
                <w:rFonts w:eastAsia="Times New Roman" w:cs="Arial"/>
                <w:color w:val="000000"/>
                <w:sz w:val="18"/>
                <w:szCs w:val="18"/>
                <w:lang w:eastAsia="nl-NL"/>
              </w:rPr>
            </w:pPr>
            <w:r w:rsidRPr="002C241A">
              <w:rPr>
                <w:rFonts w:eastAsia="Times New Roman" w:cs="Arial"/>
                <w:color w:val="000000"/>
                <w:sz w:val="18"/>
                <w:szCs w:val="18"/>
                <w:lang w:eastAsia="nl-NL"/>
              </w:rPr>
              <w:t>69151/34370</w:t>
            </w:r>
          </w:p>
        </w:tc>
        <w:tc>
          <w:tcPr>
            <w:tcW w:w="6380" w:type="dxa"/>
            <w:tcBorders>
              <w:top w:val="nil"/>
              <w:left w:val="nil"/>
              <w:bottom w:val="nil"/>
              <w:right w:val="nil"/>
            </w:tcBorders>
            <w:shd w:val="clear" w:color="auto" w:fill="auto"/>
            <w:vAlign w:val="bottom"/>
            <w:hideMark/>
          </w:tcPr>
          <w:p w:rsidR="00380A06" w:rsidRPr="002C241A" w:rsidRDefault="00380A06"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Presentiegelden: meer zittingen betekent hogere presentiegelden. Raming is ook in primitieve begroting 2019 aangepast.</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-6.000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-6.000</w:t>
            </w:r>
          </w:p>
        </w:tc>
      </w:tr>
      <w:tr w:rsidR="00380A06" w:rsidRPr="008B7A49" w:rsidTr="00380A06">
        <w:trPr>
          <w:trHeight w:val="255"/>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b/>
                <w:bCs/>
                <w:color w:val="000000"/>
                <w:sz w:val="18"/>
                <w:szCs w:val="18"/>
                <w:u w:val="single"/>
                <w:lang w:eastAsia="nl-NL"/>
              </w:rPr>
            </w:pPr>
            <w:r w:rsidRPr="002C241A">
              <w:rPr>
                <w:rFonts w:eastAsia="Times New Roman" w:cs="Arial"/>
                <w:b/>
                <w:bCs/>
                <w:color w:val="000000"/>
                <w:sz w:val="18"/>
                <w:szCs w:val="18"/>
                <w:u w:val="single"/>
                <w:lang w:eastAsia="nl-NL"/>
              </w:rPr>
              <w:t>Baten</w:t>
            </w:r>
          </w:p>
        </w:tc>
        <w:tc>
          <w:tcPr>
            <w:tcW w:w="6380"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b/>
                <w:bCs/>
                <w:color w:val="000000"/>
                <w:sz w:val="18"/>
                <w:szCs w:val="18"/>
                <w:lang w:eastAsia="nl-NL"/>
              </w:rPr>
            </w:pPr>
          </w:p>
        </w:tc>
      </w:tr>
      <w:tr w:rsidR="00380A06" w:rsidRPr="008B7A49" w:rsidTr="00380A06">
        <w:trPr>
          <w:trHeight w:val="255"/>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2791" w:type="dxa"/>
            <w:gridSpan w:val="3"/>
            <w:tcBorders>
              <w:top w:val="nil"/>
              <w:left w:val="nil"/>
              <w:bottom w:val="nil"/>
              <w:right w:val="nil"/>
            </w:tcBorders>
            <w:shd w:val="clear" w:color="auto" w:fill="auto"/>
            <w:noWrap/>
            <w:vAlign w:val="bottom"/>
            <w:hideMark/>
          </w:tcPr>
          <w:p w:rsidR="00380A06" w:rsidRPr="002C241A" w:rsidRDefault="00380A06"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Dienstverlening</w:t>
            </w:r>
          </w:p>
        </w:tc>
        <w:tc>
          <w:tcPr>
            <w:tcW w:w="6380"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r>
      <w:tr w:rsidR="00380A06" w:rsidRPr="008B7A49" w:rsidTr="00380A06">
        <w:trPr>
          <w:trHeight w:val="860"/>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380A06" w:rsidRPr="002C241A" w:rsidRDefault="00380A06" w:rsidP="002C241A">
            <w:pPr>
              <w:rPr>
                <w:rFonts w:eastAsia="Times New Roman" w:cs="Arial"/>
                <w:color w:val="000000"/>
                <w:sz w:val="18"/>
                <w:szCs w:val="18"/>
                <w:lang w:eastAsia="nl-NL"/>
              </w:rPr>
            </w:pPr>
            <w:r w:rsidRPr="002C241A">
              <w:rPr>
                <w:rFonts w:eastAsia="Times New Roman" w:cs="Arial"/>
                <w:color w:val="000000"/>
                <w:sz w:val="18"/>
                <w:szCs w:val="18"/>
                <w:lang w:eastAsia="nl-NL"/>
              </w:rPr>
              <w:t>60300/34000</w:t>
            </w:r>
          </w:p>
        </w:tc>
        <w:tc>
          <w:tcPr>
            <w:tcW w:w="6380" w:type="dxa"/>
            <w:tcBorders>
              <w:top w:val="nil"/>
              <w:left w:val="nil"/>
              <w:bottom w:val="nil"/>
              <w:right w:val="nil"/>
            </w:tcBorders>
            <w:shd w:val="clear" w:color="auto" w:fill="auto"/>
            <w:vAlign w:val="bottom"/>
            <w:hideMark/>
          </w:tcPr>
          <w:p w:rsidR="00380A06" w:rsidRPr="002C241A" w:rsidRDefault="00380A06" w:rsidP="002A5FB8">
            <w:pPr>
              <w:rPr>
                <w:rFonts w:eastAsia="Times New Roman" w:cs="Arial"/>
                <w:bCs/>
                <w:color w:val="000000"/>
                <w:sz w:val="18"/>
                <w:szCs w:val="18"/>
                <w:lang w:eastAsia="nl-NL"/>
              </w:rPr>
            </w:pPr>
            <w:r w:rsidRPr="00AA781E">
              <w:rPr>
                <w:rFonts w:eastAsia="Times New Roman" w:cs="Arial"/>
                <w:bCs/>
                <w:color w:val="000000"/>
                <w:sz w:val="18"/>
                <w:szCs w:val="18"/>
                <w:lang w:eastAsia="nl-NL"/>
              </w:rPr>
              <w:t>Per 9 maart 2014 is voor (een deel van) de reisdocumenten een gewijzigde geldigheidsduur ingevoerd: van vijf naar tien jaar voor 18 jaar en ouder. Die wijziging betekent een structurele afname van de afgifte van die documenten in de komende jaren (tot en met 2024). Met lagere legesopbrengsten als gevolg. Ook voor 2018 voorspelt het model al een lagere afgifte van reisdocumenten. De realisatie tot en met juli 2018 li</w:t>
            </w:r>
            <w:r>
              <w:rPr>
                <w:rFonts w:eastAsia="Times New Roman" w:cs="Arial"/>
                <w:bCs/>
                <w:color w:val="000000"/>
                <w:sz w:val="18"/>
                <w:szCs w:val="18"/>
                <w:lang w:eastAsia="nl-NL"/>
              </w:rPr>
              <w:t>jkt het daarin gelijk te geven.</w:t>
            </w:r>
            <w:r w:rsidRPr="00AA781E">
              <w:rPr>
                <w:rFonts w:eastAsia="Times New Roman" w:cs="Arial"/>
                <w:bCs/>
                <w:color w:val="000000"/>
                <w:sz w:val="18"/>
                <w:szCs w:val="18"/>
                <w:lang w:eastAsia="nl-NL"/>
              </w:rPr>
              <w:t xml:space="preserve"> In de primitieve begroting 2019-2022 is er al rekening mee gehouden.</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Pr>
                <w:rFonts w:eastAsia="Times New Roman" w:cs="Arial"/>
                <w:color w:val="000000"/>
                <w:sz w:val="18"/>
                <w:szCs w:val="18"/>
                <w:lang w:eastAsia="nl-NL"/>
              </w:rPr>
              <w:t>-53.50</w:t>
            </w: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Pr>
                <w:rFonts w:eastAsia="Times New Roman" w:cs="Arial"/>
                <w:color w:val="000000"/>
                <w:sz w:val="18"/>
                <w:szCs w:val="18"/>
                <w:lang w:eastAsia="nl-NL"/>
              </w:rPr>
              <w:t>-53.50</w:t>
            </w:r>
            <w:r w:rsidRPr="002C241A">
              <w:rPr>
                <w:rFonts w:eastAsia="Times New Roman" w:cs="Arial"/>
                <w:color w:val="000000"/>
                <w:sz w:val="18"/>
                <w:szCs w:val="18"/>
                <w:lang w:eastAsia="nl-NL"/>
              </w:rPr>
              <w:t>0</w:t>
            </w:r>
          </w:p>
        </w:tc>
      </w:tr>
      <w:tr w:rsidR="00380A06" w:rsidRPr="008B7A49" w:rsidTr="00380A06">
        <w:trPr>
          <w:trHeight w:val="287"/>
        </w:trPr>
        <w:tc>
          <w:tcPr>
            <w:tcW w:w="554" w:type="dxa"/>
            <w:tcBorders>
              <w:top w:val="nil"/>
              <w:left w:val="nil"/>
              <w:bottom w:val="nil"/>
              <w:right w:val="nil"/>
            </w:tcBorders>
            <w:shd w:val="clear" w:color="auto" w:fill="auto"/>
            <w:noWrap/>
            <w:vAlign w:val="bottom"/>
          </w:tcPr>
          <w:p w:rsidR="00380A06" w:rsidRPr="008B7A49" w:rsidRDefault="00380A06"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tcPr>
          <w:p w:rsidR="00380A06" w:rsidRPr="00380A06" w:rsidRDefault="00380A06" w:rsidP="002A5FB8">
            <w:pPr>
              <w:rPr>
                <w:rFonts w:eastAsia="Times New Roman" w:cs="Arial"/>
                <w:bCs/>
                <w:color w:val="000000"/>
                <w:sz w:val="18"/>
                <w:szCs w:val="18"/>
                <w:lang w:eastAsia="nl-NL"/>
              </w:rPr>
            </w:pPr>
            <w:r w:rsidRPr="00B25233">
              <w:rPr>
                <w:rFonts w:eastAsia="Times New Roman" w:cs="Arial"/>
                <w:b/>
                <w:bCs/>
                <w:color w:val="000000"/>
                <w:sz w:val="18"/>
                <w:szCs w:val="18"/>
                <w:lang w:eastAsia="nl-NL"/>
              </w:rPr>
              <w:t>OWO kostenplaatsen</w:t>
            </w:r>
          </w:p>
        </w:tc>
        <w:tc>
          <w:tcPr>
            <w:tcW w:w="1280" w:type="dxa"/>
            <w:tcBorders>
              <w:top w:val="nil"/>
              <w:left w:val="nil"/>
              <w:bottom w:val="nil"/>
              <w:right w:val="nil"/>
            </w:tcBorders>
            <w:shd w:val="clear" w:color="auto" w:fill="auto"/>
            <w:noWrap/>
            <w:vAlign w:val="center"/>
          </w:tcPr>
          <w:p w:rsidR="00380A06" w:rsidRDefault="00380A06" w:rsidP="00380A06">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380A06" w:rsidRPr="002C241A" w:rsidRDefault="00380A06" w:rsidP="00380A06">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380A06" w:rsidRDefault="00380A06" w:rsidP="002C241A">
            <w:pPr>
              <w:jc w:val="right"/>
              <w:rPr>
                <w:rFonts w:eastAsia="Times New Roman" w:cs="Arial"/>
                <w:color w:val="000000"/>
                <w:sz w:val="18"/>
                <w:szCs w:val="18"/>
                <w:lang w:eastAsia="nl-NL"/>
              </w:rPr>
            </w:pPr>
          </w:p>
        </w:tc>
      </w:tr>
      <w:tr w:rsidR="00380A06" w:rsidRPr="008B7A49" w:rsidTr="00987B44">
        <w:trPr>
          <w:trHeight w:val="292"/>
        </w:trPr>
        <w:tc>
          <w:tcPr>
            <w:tcW w:w="554" w:type="dxa"/>
            <w:tcBorders>
              <w:top w:val="nil"/>
              <w:left w:val="nil"/>
              <w:bottom w:val="nil"/>
              <w:right w:val="nil"/>
            </w:tcBorders>
            <w:shd w:val="clear" w:color="auto" w:fill="auto"/>
            <w:noWrap/>
            <w:vAlign w:val="bottom"/>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tcPr>
          <w:p w:rsidR="00380A06" w:rsidRPr="002C241A" w:rsidRDefault="00380A06" w:rsidP="002C241A">
            <w:pPr>
              <w:rPr>
                <w:rFonts w:eastAsia="Times New Roman" w:cs="Arial"/>
                <w:color w:val="000000"/>
                <w:sz w:val="18"/>
                <w:szCs w:val="18"/>
                <w:lang w:eastAsia="nl-NL"/>
              </w:rPr>
            </w:pPr>
            <w:r w:rsidRPr="00B25233">
              <w:rPr>
                <w:rFonts w:eastAsia="Times New Roman" w:cs="Arial"/>
                <w:color w:val="000000"/>
                <w:sz w:val="18"/>
                <w:szCs w:val="18"/>
                <w:lang w:eastAsia="nl-NL"/>
              </w:rPr>
              <w:t>69356/30000</w:t>
            </w:r>
          </w:p>
        </w:tc>
        <w:tc>
          <w:tcPr>
            <w:tcW w:w="6380" w:type="dxa"/>
            <w:tcBorders>
              <w:top w:val="nil"/>
              <w:left w:val="nil"/>
              <w:bottom w:val="nil"/>
              <w:right w:val="nil"/>
            </w:tcBorders>
            <w:shd w:val="clear" w:color="auto" w:fill="auto"/>
            <w:vAlign w:val="bottom"/>
          </w:tcPr>
          <w:p w:rsidR="00380A06" w:rsidRPr="00380A06" w:rsidRDefault="00380A06" w:rsidP="002A5FB8">
            <w:pPr>
              <w:rPr>
                <w:rFonts w:eastAsia="Times New Roman" w:cs="Arial"/>
                <w:bCs/>
                <w:color w:val="000000"/>
                <w:sz w:val="18"/>
                <w:szCs w:val="18"/>
                <w:lang w:eastAsia="nl-NL"/>
              </w:rPr>
            </w:pPr>
            <w:r w:rsidRPr="00B25233">
              <w:rPr>
                <w:rFonts w:eastAsia="Times New Roman" w:cs="Arial"/>
                <w:bCs/>
                <w:color w:val="000000"/>
                <w:sz w:val="18"/>
                <w:szCs w:val="18"/>
                <w:lang w:eastAsia="nl-NL"/>
              </w:rPr>
              <w:t>BVI: hogere vergoeding OWO i.v.m. hogere lasten bezwaar en beroep.</w:t>
            </w:r>
          </w:p>
        </w:tc>
        <w:tc>
          <w:tcPr>
            <w:tcW w:w="1280" w:type="dxa"/>
            <w:tcBorders>
              <w:top w:val="nil"/>
              <w:left w:val="nil"/>
              <w:bottom w:val="nil"/>
              <w:right w:val="nil"/>
            </w:tcBorders>
            <w:shd w:val="clear" w:color="auto" w:fill="auto"/>
            <w:noWrap/>
            <w:vAlign w:val="center"/>
          </w:tcPr>
          <w:p w:rsidR="00380A06" w:rsidRDefault="00380A06" w:rsidP="002C241A">
            <w:pPr>
              <w:jc w:val="right"/>
              <w:rPr>
                <w:rFonts w:eastAsia="Times New Roman" w:cs="Arial"/>
                <w:color w:val="000000"/>
                <w:sz w:val="18"/>
                <w:szCs w:val="18"/>
                <w:lang w:eastAsia="nl-NL"/>
              </w:rPr>
            </w:pPr>
            <w:r>
              <w:rPr>
                <w:rFonts w:eastAsia="Times New Roman" w:cs="Arial"/>
                <w:color w:val="000000"/>
                <w:sz w:val="18"/>
                <w:szCs w:val="18"/>
                <w:lang w:eastAsia="nl-NL"/>
              </w:rPr>
              <w:t>25.000</w:t>
            </w:r>
          </w:p>
        </w:tc>
        <w:tc>
          <w:tcPr>
            <w:tcW w:w="1340" w:type="dxa"/>
            <w:tcBorders>
              <w:top w:val="nil"/>
              <w:left w:val="nil"/>
              <w:bottom w:val="nil"/>
              <w:right w:val="nil"/>
            </w:tcBorders>
            <w:shd w:val="clear" w:color="auto" w:fill="auto"/>
            <w:noWrap/>
            <w:vAlign w:val="center"/>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380A06" w:rsidRDefault="00380A06" w:rsidP="002C241A">
            <w:pPr>
              <w:jc w:val="right"/>
              <w:rPr>
                <w:rFonts w:eastAsia="Times New Roman" w:cs="Arial"/>
                <w:color w:val="000000"/>
                <w:sz w:val="18"/>
                <w:szCs w:val="18"/>
                <w:lang w:eastAsia="nl-NL"/>
              </w:rPr>
            </w:pPr>
            <w:r>
              <w:rPr>
                <w:rFonts w:eastAsia="Times New Roman" w:cs="Arial"/>
                <w:color w:val="000000"/>
                <w:sz w:val="18"/>
                <w:szCs w:val="18"/>
                <w:lang w:eastAsia="nl-NL"/>
              </w:rPr>
              <w:t>25.000</w:t>
            </w:r>
          </w:p>
        </w:tc>
      </w:tr>
      <w:tr w:rsidR="00380A06" w:rsidRPr="008B7A49" w:rsidTr="00987B44">
        <w:trPr>
          <w:trHeight w:val="269"/>
        </w:trPr>
        <w:tc>
          <w:tcPr>
            <w:tcW w:w="554" w:type="dxa"/>
            <w:tcBorders>
              <w:top w:val="nil"/>
              <w:left w:val="nil"/>
              <w:bottom w:val="nil"/>
              <w:right w:val="nil"/>
            </w:tcBorders>
            <w:shd w:val="clear" w:color="auto" w:fill="auto"/>
            <w:noWrap/>
            <w:vAlign w:val="bottom"/>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tcPr>
          <w:p w:rsidR="00380A06" w:rsidRPr="002C241A" w:rsidRDefault="00380A06" w:rsidP="002C241A">
            <w:pPr>
              <w:rPr>
                <w:rFonts w:eastAsia="Times New Roman" w:cs="Arial"/>
                <w:color w:val="000000"/>
                <w:sz w:val="18"/>
                <w:szCs w:val="18"/>
                <w:lang w:eastAsia="nl-NL"/>
              </w:rPr>
            </w:pPr>
            <w:r w:rsidRPr="00B25233">
              <w:rPr>
                <w:rFonts w:eastAsia="Times New Roman" w:cs="Arial"/>
                <w:color w:val="000000"/>
                <w:sz w:val="18"/>
                <w:szCs w:val="18"/>
                <w:lang w:eastAsia="nl-NL"/>
              </w:rPr>
              <w:t>69357/30000</w:t>
            </w:r>
          </w:p>
        </w:tc>
        <w:tc>
          <w:tcPr>
            <w:tcW w:w="6380" w:type="dxa"/>
            <w:tcBorders>
              <w:top w:val="nil"/>
              <w:left w:val="nil"/>
              <w:bottom w:val="nil"/>
              <w:right w:val="nil"/>
            </w:tcBorders>
            <w:shd w:val="clear" w:color="auto" w:fill="auto"/>
            <w:vAlign w:val="bottom"/>
          </w:tcPr>
          <w:p w:rsidR="00380A06" w:rsidRPr="00380A06" w:rsidRDefault="00380A06" w:rsidP="002A5FB8">
            <w:pPr>
              <w:rPr>
                <w:rFonts w:eastAsia="Times New Roman" w:cs="Arial"/>
                <w:bCs/>
                <w:color w:val="000000"/>
                <w:sz w:val="18"/>
                <w:szCs w:val="18"/>
                <w:lang w:eastAsia="nl-NL"/>
              </w:rPr>
            </w:pPr>
            <w:r w:rsidRPr="00B25233">
              <w:rPr>
                <w:rFonts w:eastAsia="Times New Roman" w:cs="Arial"/>
                <w:bCs/>
                <w:color w:val="000000"/>
                <w:sz w:val="18"/>
                <w:szCs w:val="18"/>
                <w:lang w:eastAsia="nl-NL"/>
              </w:rPr>
              <w:t>BVI: hogere vergoeding OWO i.v.m. hogere lasten bezwaar en beroep.</w:t>
            </w:r>
          </w:p>
        </w:tc>
        <w:tc>
          <w:tcPr>
            <w:tcW w:w="1280" w:type="dxa"/>
            <w:tcBorders>
              <w:top w:val="nil"/>
              <w:left w:val="nil"/>
              <w:bottom w:val="nil"/>
              <w:right w:val="nil"/>
            </w:tcBorders>
            <w:shd w:val="clear" w:color="auto" w:fill="auto"/>
            <w:noWrap/>
            <w:vAlign w:val="center"/>
          </w:tcPr>
          <w:p w:rsidR="00380A06" w:rsidRDefault="00380A06" w:rsidP="002C241A">
            <w:pPr>
              <w:jc w:val="right"/>
              <w:rPr>
                <w:rFonts w:eastAsia="Times New Roman" w:cs="Arial"/>
                <w:color w:val="000000"/>
                <w:sz w:val="18"/>
                <w:szCs w:val="18"/>
                <w:lang w:eastAsia="nl-NL"/>
              </w:rPr>
            </w:pPr>
            <w:r>
              <w:rPr>
                <w:rFonts w:eastAsia="Times New Roman" w:cs="Arial"/>
                <w:color w:val="000000"/>
                <w:sz w:val="18"/>
                <w:szCs w:val="18"/>
                <w:lang w:eastAsia="nl-NL"/>
              </w:rPr>
              <w:t>25.000</w:t>
            </w:r>
          </w:p>
        </w:tc>
        <w:tc>
          <w:tcPr>
            <w:tcW w:w="1340" w:type="dxa"/>
            <w:tcBorders>
              <w:top w:val="nil"/>
              <w:left w:val="nil"/>
              <w:bottom w:val="nil"/>
              <w:right w:val="nil"/>
            </w:tcBorders>
            <w:shd w:val="clear" w:color="auto" w:fill="auto"/>
            <w:noWrap/>
            <w:vAlign w:val="center"/>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tcPr>
          <w:p w:rsidR="00380A06" w:rsidRDefault="00380A06" w:rsidP="002C241A">
            <w:pPr>
              <w:jc w:val="right"/>
              <w:rPr>
                <w:rFonts w:eastAsia="Times New Roman" w:cs="Arial"/>
                <w:color w:val="000000"/>
                <w:sz w:val="18"/>
                <w:szCs w:val="18"/>
                <w:lang w:eastAsia="nl-NL"/>
              </w:rPr>
            </w:pPr>
            <w:r>
              <w:rPr>
                <w:rFonts w:eastAsia="Times New Roman" w:cs="Arial"/>
                <w:color w:val="000000"/>
                <w:sz w:val="18"/>
                <w:szCs w:val="18"/>
                <w:lang w:eastAsia="nl-NL"/>
              </w:rPr>
              <w:t>25.000</w:t>
            </w:r>
          </w:p>
        </w:tc>
      </w:tr>
      <w:tr w:rsidR="00380A06" w:rsidRPr="008B7A49" w:rsidTr="00380A06">
        <w:trPr>
          <w:trHeight w:val="255"/>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380A06" w:rsidRPr="002C241A" w:rsidRDefault="00380A06"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Belastingen en Wet WOZ</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r>
      <w:tr w:rsidR="00380A06" w:rsidRPr="008B7A49" w:rsidTr="00380A06">
        <w:trPr>
          <w:trHeight w:val="960"/>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380A06" w:rsidRPr="002C241A" w:rsidRDefault="00380A06" w:rsidP="002C241A">
            <w:pPr>
              <w:rPr>
                <w:rFonts w:eastAsia="Times New Roman" w:cs="Arial"/>
                <w:color w:val="000000"/>
                <w:sz w:val="18"/>
                <w:szCs w:val="18"/>
                <w:lang w:eastAsia="nl-NL"/>
              </w:rPr>
            </w:pPr>
            <w:r w:rsidRPr="002C241A">
              <w:rPr>
                <w:rFonts w:eastAsia="Times New Roman" w:cs="Arial"/>
                <w:color w:val="000000"/>
                <w:sz w:val="18"/>
                <w:szCs w:val="18"/>
                <w:lang w:eastAsia="nl-NL"/>
              </w:rPr>
              <w:t>67400/40110</w:t>
            </w:r>
          </w:p>
        </w:tc>
        <w:tc>
          <w:tcPr>
            <w:tcW w:w="6380" w:type="dxa"/>
            <w:tcBorders>
              <w:top w:val="nil"/>
              <w:left w:val="nil"/>
              <w:bottom w:val="nil"/>
              <w:right w:val="nil"/>
            </w:tcBorders>
            <w:shd w:val="clear" w:color="auto" w:fill="auto"/>
            <w:vAlign w:val="bottom"/>
            <w:hideMark/>
          </w:tcPr>
          <w:p w:rsidR="00380A06" w:rsidRPr="002C241A" w:rsidRDefault="00380A06"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OZB gebruikers niet-woningen: als gevolg van hogere WOZ-waarden (na het moment van tariefbepaling) is er een hogere opbrengst. Wel zijn er bezwaarschriften die nog kunnen leiden tot verminderingen. Daarom is nu 75% van de hogere opbrengst meegenomen.</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11.000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11.000</w:t>
            </w:r>
          </w:p>
        </w:tc>
      </w:tr>
      <w:tr w:rsidR="00380A06" w:rsidRPr="008B7A49" w:rsidTr="00380A06">
        <w:trPr>
          <w:trHeight w:val="480"/>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380A06" w:rsidRPr="002C241A" w:rsidRDefault="00380A06" w:rsidP="002C241A">
            <w:pPr>
              <w:rPr>
                <w:rFonts w:eastAsia="Times New Roman" w:cs="Arial"/>
                <w:color w:val="000000"/>
                <w:sz w:val="18"/>
                <w:szCs w:val="18"/>
                <w:lang w:eastAsia="nl-NL"/>
              </w:rPr>
            </w:pPr>
            <w:r w:rsidRPr="002C241A">
              <w:rPr>
                <w:rFonts w:eastAsia="Times New Roman" w:cs="Arial"/>
                <w:color w:val="000000"/>
                <w:sz w:val="18"/>
                <w:szCs w:val="18"/>
                <w:lang w:eastAsia="nl-NL"/>
              </w:rPr>
              <w:t>67401/40100</w:t>
            </w:r>
          </w:p>
        </w:tc>
        <w:tc>
          <w:tcPr>
            <w:tcW w:w="6380" w:type="dxa"/>
            <w:tcBorders>
              <w:top w:val="nil"/>
              <w:left w:val="nil"/>
              <w:bottom w:val="nil"/>
              <w:right w:val="nil"/>
            </w:tcBorders>
            <w:shd w:val="clear" w:color="auto" w:fill="auto"/>
            <w:vAlign w:val="bottom"/>
            <w:hideMark/>
          </w:tcPr>
          <w:p w:rsidR="00380A06" w:rsidRPr="002C241A" w:rsidRDefault="00380A06"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OZB eigenaren niet-woningen: zie toelichting bij OZB gebruikers niet-woningen.</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12.000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12.000</w:t>
            </w:r>
          </w:p>
        </w:tc>
      </w:tr>
      <w:tr w:rsidR="00380A06" w:rsidRPr="008B7A49" w:rsidTr="00380A06">
        <w:trPr>
          <w:trHeight w:val="188"/>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380A06" w:rsidRPr="002C241A" w:rsidRDefault="00380A06" w:rsidP="002C241A">
            <w:pPr>
              <w:rPr>
                <w:rFonts w:eastAsia="Times New Roman" w:cs="Arial"/>
                <w:color w:val="000000"/>
                <w:sz w:val="18"/>
                <w:szCs w:val="18"/>
                <w:lang w:eastAsia="nl-NL"/>
              </w:rPr>
            </w:pPr>
            <w:r w:rsidRPr="002C241A">
              <w:rPr>
                <w:rFonts w:eastAsia="Times New Roman" w:cs="Arial"/>
                <w:color w:val="000000"/>
                <w:sz w:val="18"/>
                <w:szCs w:val="18"/>
                <w:lang w:eastAsia="nl-NL"/>
              </w:rPr>
              <w:t>67402/40120</w:t>
            </w:r>
          </w:p>
        </w:tc>
        <w:tc>
          <w:tcPr>
            <w:tcW w:w="6380" w:type="dxa"/>
            <w:tcBorders>
              <w:top w:val="nil"/>
              <w:left w:val="nil"/>
              <w:bottom w:val="nil"/>
              <w:right w:val="nil"/>
            </w:tcBorders>
            <w:shd w:val="clear" w:color="auto" w:fill="auto"/>
            <w:vAlign w:val="bottom"/>
            <w:hideMark/>
          </w:tcPr>
          <w:p w:rsidR="00380A06" w:rsidRPr="002C241A" w:rsidRDefault="00380A06"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OZB eigenaren woningen: Zie toelichting bij OZB gebruikers niet-woningen.</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49.000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49.000</w:t>
            </w:r>
          </w:p>
        </w:tc>
      </w:tr>
      <w:tr w:rsidR="00380A06" w:rsidRPr="008B7A49" w:rsidTr="00380A06">
        <w:trPr>
          <w:trHeight w:val="255"/>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9171" w:type="dxa"/>
            <w:gridSpan w:val="4"/>
            <w:tcBorders>
              <w:top w:val="nil"/>
              <w:left w:val="nil"/>
              <w:bottom w:val="nil"/>
              <w:right w:val="nil"/>
            </w:tcBorders>
            <w:shd w:val="clear" w:color="auto" w:fill="auto"/>
            <w:noWrap/>
            <w:vAlign w:val="bottom"/>
            <w:hideMark/>
          </w:tcPr>
          <w:p w:rsidR="00380A06" w:rsidRPr="002C241A" w:rsidRDefault="00380A06" w:rsidP="002C241A">
            <w:pPr>
              <w:ind w:firstLineChars="100" w:firstLine="181"/>
              <w:rPr>
                <w:rFonts w:eastAsia="Times New Roman" w:cs="Arial"/>
                <w:b/>
                <w:bCs/>
                <w:color w:val="000000"/>
                <w:sz w:val="18"/>
                <w:szCs w:val="18"/>
                <w:lang w:eastAsia="nl-NL"/>
              </w:rPr>
            </w:pPr>
            <w:r w:rsidRPr="002C241A">
              <w:rPr>
                <w:rFonts w:eastAsia="Times New Roman" w:cs="Arial"/>
                <w:b/>
                <w:bCs/>
                <w:color w:val="000000"/>
                <w:sz w:val="18"/>
                <w:szCs w:val="18"/>
                <w:lang w:eastAsia="nl-NL"/>
              </w:rPr>
              <w:t>Bouwen en Wonen</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p>
        </w:tc>
      </w:tr>
      <w:tr w:rsidR="00380A06" w:rsidRPr="008B7A49" w:rsidTr="00380A06">
        <w:trPr>
          <w:trHeight w:val="720"/>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380A06" w:rsidRPr="002C241A" w:rsidRDefault="00380A06" w:rsidP="002A5FB8">
            <w:pPr>
              <w:rPr>
                <w:rFonts w:eastAsia="Times New Roman" w:cs="Arial"/>
                <w:color w:val="000000"/>
                <w:sz w:val="18"/>
                <w:szCs w:val="18"/>
                <w:lang w:eastAsia="nl-NL"/>
              </w:rPr>
            </w:pPr>
          </w:p>
        </w:tc>
        <w:tc>
          <w:tcPr>
            <w:tcW w:w="2237" w:type="dxa"/>
            <w:gridSpan w:val="2"/>
            <w:tcBorders>
              <w:top w:val="nil"/>
              <w:left w:val="nil"/>
              <w:bottom w:val="nil"/>
              <w:right w:val="nil"/>
            </w:tcBorders>
            <w:shd w:val="clear" w:color="auto" w:fill="auto"/>
            <w:noWrap/>
            <w:vAlign w:val="center"/>
            <w:hideMark/>
          </w:tcPr>
          <w:p w:rsidR="00380A06" w:rsidRPr="002C241A" w:rsidRDefault="00380A06" w:rsidP="002C241A">
            <w:pPr>
              <w:rPr>
                <w:rFonts w:eastAsia="Times New Roman" w:cs="Arial"/>
                <w:color w:val="000000"/>
                <w:sz w:val="18"/>
                <w:szCs w:val="18"/>
                <w:lang w:eastAsia="nl-NL"/>
              </w:rPr>
            </w:pPr>
            <w:r w:rsidRPr="002C241A">
              <w:rPr>
                <w:rFonts w:eastAsia="Times New Roman" w:cs="Arial"/>
                <w:color w:val="000000"/>
                <w:sz w:val="18"/>
                <w:szCs w:val="18"/>
                <w:lang w:eastAsia="nl-NL"/>
              </w:rPr>
              <w:t>66410/34000</w:t>
            </w:r>
          </w:p>
        </w:tc>
        <w:tc>
          <w:tcPr>
            <w:tcW w:w="6380" w:type="dxa"/>
            <w:tcBorders>
              <w:top w:val="nil"/>
              <w:left w:val="nil"/>
              <w:bottom w:val="nil"/>
              <w:right w:val="nil"/>
            </w:tcBorders>
            <w:shd w:val="clear" w:color="auto" w:fill="auto"/>
            <w:vAlign w:val="bottom"/>
            <w:hideMark/>
          </w:tcPr>
          <w:p w:rsidR="00380A06" w:rsidRPr="002C241A" w:rsidRDefault="00380A06" w:rsidP="002A5FB8">
            <w:pPr>
              <w:rPr>
                <w:rFonts w:eastAsia="Times New Roman" w:cs="Arial"/>
                <w:bCs/>
                <w:color w:val="000000"/>
                <w:sz w:val="18"/>
                <w:szCs w:val="18"/>
                <w:lang w:eastAsia="nl-NL"/>
              </w:rPr>
            </w:pPr>
            <w:r w:rsidRPr="002C241A">
              <w:rPr>
                <w:rFonts w:eastAsia="Times New Roman" w:cs="Arial"/>
                <w:bCs/>
                <w:color w:val="000000"/>
                <w:sz w:val="18"/>
                <w:szCs w:val="18"/>
                <w:lang w:eastAsia="nl-NL"/>
              </w:rPr>
              <w:t>De opbrengst leges omgevingsvergunningen verhogen we structureel met € 40.000. De verwachte opbrengst voor 2018 is € 400.000. Deze hogere opbrengst is verwerkt in de primitieve begroting 2019.</w:t>
            </w:r>
          </w:p>
        </w:tc>
        <w:tc>
          <w:tcPr>
            <w:tcW w:w="128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40.000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380A06" w:rsidRPr="002C241A" w:rsidRDefault="00380A06" w:rsidP="002C241A">
            <w:pPr>
              <w:jc w:val="right"/>
              <w:rPr>
                <w:rFonts w:eastAsia="Times New Roman" w:cs="Arial"/>
                <w:color w:val="000000"/>
                <w:sz w:val="18"/>
                <w:szCs w:val="18"/>
                <w:lang w:eastAsia="nl-NL"/>
              </w:rPr>
            </w:pPr>
            <w:r w:rsidRPr="002C241A">
              <w:rPr>
                <w:rFonts w:eastAsia="Times New Roman" w:cs="Arial"/>
                <w:color w:val="000000"/>
                <w:sz w:val="18"/>
                <w:szCs w:val="18"/>
                <w:lang w:eastAsia="nl-NL"/>
              </w:rPr>
              <w:t>40.000</w:t>
            </w:r>
          </w:p>
        </w:tc>
      </w:tr>
      <w:tr w:rsidR="00380A06" w:rsidRPr="008B7A49" w:rsidTr="00380A06">
        <w:trPr>
          <w:trHeight w:val="255"/>
        </w:trPr>
        <w:tc>
          <w:tcPr>
            <w:tcW w:w="9725" w:type="dxa"/>
            <w:gridSpan w:val="5"/>
            <w:tcBorders>
              <w:top w:val="nil"/>
              <w:left w:val="nil"/>
              <w:bottom w:val="nil"/>
              <w:right w:val="nil"/>
            </w:tcBorders>
            <w:shd w:val="clear" w:color="B8CCE4" w:fill="B8CCE4"/>
            <w:noWrap/>
            <w:vAlign w:val="bottom"/>
            <w:hideMark/>
          </w:tcPr>
          <w:p w:rsidR="00380A06" w:rsidRPr="002C241A" w:rsidRDefault="00380A06" w:rsidP="002A5FB8">
            <w:pPr>
              <w:rPr>
                <w:rFonts w:eastAsia="Times New Roman" w:cs="Arial"/>
                <w:b/>
                <w:bCs/>
                <w:color w:val="000000"/>
                <w:sz w:val="18"/>
                <w:szCs w:val="18"/>
                <w:lang w:eastAsia="nl-NL"/>
              </w:rPr>
            </w:pPr>
            <w:r w:rsidRPr="002C241A">
              <w:rPr>
                <w:rFonts w:eastAsia="Times New Roman" w:cs="Arial"/>
                <w:b/>
                <w:bCs/>
                <w:color w:val="000000"/>
                <w:sz w:val="18"/>
                <w:szCs w:val="18"/>
                <w:lang w:eastAsia="nl-NL"/>
              </w:rPr>
              <w:t xml:space="preserve">Totaal </w:t>
            </w:r>
            <w:r>
              <w:rPr>
                <w:rFonts w:eastAsia="Times New Roman" w:cs="Arial"/>
                <w:b/>
                <w:bCs/>
                <w:color w:val="000000"/>
                <w:sz w:val="18"/>
                <w:szCs w:val="18"/>
                <w:lang w:eastAsia="nl-NL"/>
              </w:rPr>
              <w:t xml:space="preserve">Programma </w:t>
            </w:r>
            <w:r w:rsidRPr="002C241A">
              <w:rPr>
                <w:rFonts w:eastAsia="Times New Roman" w:cs="Arial"/>
                <w:b/>
                <w:bCs/>
                <w:color w:val="000000"/>
                <w:sz w:val="18"/>
                <w:szCs w:val="18"/>
                <w:lang w:eastAsia="nl-NL"/>
              </w:rPr>
              <w:t>6. Bestuur &amp; Dienstverlening</w:t>
            </w:r>
          </w:p>
        </w:tc>
        <w:tc>
          <w:tcPr>
            <w:tcW w:w="1280" w:type="dxa"/>
            <w:tcBorders>
              <w:top w:val="nil"/>
              <w:left w:val="nil"/>
              <w:bottom w:val="nil"/>
              <w:right w:val="nil"/>
            </w:tcBorders>
            <w:shd w:val="clear" w:color="B8CCE4" w:fill="B8CCE4"/>
            <w:noWrap/>
            <w:vAlign w:val="center"/>
            <w:hideMark/>
          </w:tcPr>
          <w:p w:rsidR="00380A06" w:rsidRPr="002C241A" w:rsidRDefault="00F07713" w:rsidP="002C241A">
            <w:pPr>
              <w:jc w:val="right"/>
              <w:rPr>
                <w:rFonts w:eastAsia="Times New Roman" w:cs="Arial"/>
                <w:b/>
                <w:bCs/>
                <w:color w:val="000000"/>
                <w:sz w:val="18"/>
                <w:szCs w:val="18"/>
                <w:lang w:eastAsia="nl-NL"/>
              </w:rPr>
            </w:pPr>
            <w:r>
              <w:rPr>
                <w:rFonts w:eastAsia="Times New Roman" w:cs="Arial"/>
                <w:b/>
                <w:bCs/>
                <w:color w:val="000000"/>
                <w:sz w:val="18"/>
                <w:szCs w:val="18"/>
                <w:lang w:eastAsia="nl-NL"/>
              </w:rPr>
              <w:t>72</w:t>
            </w:r>
            <w:r w:rsidR="00380A06">
              <w:rPr>
                <w:rFonts w:eastAsia="Times New Roman" w:cs="Arial"/>
                <w:b/>
                <w:bCs/>
                <w:color w:val="000000"/>
                <w:sz w:val="18"/>
                <w:szCs w:val="18"/>
                <w:lang w:eastAsia="nl-NL"/>
              </w:rPr>
              <w:t>.000</w:t>
            </w:r>
          </w:p>
        </w:tc>
        <w:tc>
          <w:tcPr>
            <w:tcW w:w="1340" w:type="dxa"/>
            <w:tcBorders>
              <w:top w:val="nil"/>
              <w:left w:val="nil"/>
              <w:bottom w:val="nil"/>
              <w:right w:val="nil"/>
            </w:tcBorders>
            <w:shd w:val="clear" w:color="B8CCE4" w:fill="B8CCE4"/>
            <w:noWrap/>
            <w:vAlign w:val="center"/>
            <w:hideMark/>
          </w:tcPr>
          <w:p w:rsidR="00380A06" w:rsidRPr="002C241A" w:rsidRDefault="00380A06" w:rsidP="002C241A">
            <w:pPr>
              <w:jc w:val="right"/>
              <w:rPr>
                <w:rFonts w:eastAsia="Times New Roman" w:cs="Arial"/>
                <w:b/>
                <w:bCs/>
                <w:color w:val="000000"/>
                <w:sz w:val="18"/>
                <w:szCs w:val="18"/>
                <w:lang w:eastAsia="nl-NL"/>
              </w:rPr>
            </w:pPr>
            <w:r w:rsidRPr="002C241A">
              <w:rPr>
                <w:rFonts w:eastAsia="Times New Roman" w:cs="Arial"/>
                <w:b/>
                <w:bCs/>
                <w:color w:val="000000"/>
                <w:sz w:val="18"/>
                <w:szCs w:val="18"/>
                <w:lang w:eastAsia="nl-NL"/>
              </w:rPr>
              <w:t>0</w:t>
            </w:r>
          </w:p>
        </w:tc>
        <w:tc>
          <w:tcPr>
            <w:tcW w:w="1340" w:type="dxa"/>
            <w:tcBorders>
              <w:top w:val="nil"/>
              <w:left w:val="nil"/>
              <w:bottom w:val="nil"/>
              <w:right w:val="nil"/>
            </w:tcBorders>
            <w:shd w:val="clear" w:color="B8CCE4" w:fill="B8CCE4"/>
            <w:noWrap/>
            <w:vAlign w:val="center"/>
            <w:hideMark/>
          </w:tcPr>
          <w:p w:rsidR="00380A06" w:rsidRPr="002C241A" w:rsidRDefault="00F07713" w:rsidP="002C241A">
            <w:pPr>
              <w:jc w:val="right"/>
              <w:rPr>
                <w:rFonts w:eastAsia="Times New Roman" w:cs="Arial"/>
                <w:b/>
                <w:bCs/>
                <w:color w:val="000000"/>
                <w:sz w:val="18"/>
                <w:szCs w:val="18"/>
                <w:lang w:eastAsia="nl-NL"/>
              </w:rPr>
            </w:pPr>
            <w:r>
              <w:rPr>
                <w:rFonts w:eastAsia="Times New Roman" w:cs="Arial"/>
                <w:b/>
                <w:bCs/>
                <w:color w:val="000000"/>
                <w:sz w:val="18"/>
                <w:szCs w:val="18"/>
                <w:lang w:eastAsia="nl-NL"/>
              </w:rPr>
              <w:t>72</w:t>
            </w:r>
            <w:r w:rsidR="00380A06">
              <w:rPr>
                <w:rFonts w:eastAsia="Times New Roman" w:cs="Arial"/>
                <w:b/>
                <w:bCs/>
                <w:color w:val="000000"/>
                <w:sz w:val="18"/>
                <w:szCs w:val="18"/>
                <w:lang w:eastAsia="nl-NL"/>
              </w:rPr>
              <w:t>.000</w:t>
            </w:r>
          </w:p>
        </w:tc>
      </w:tr>
      <w:tr w:rsidR="00380A06" w:rsidRPr="008B7A49" w:rsidTr="00380A06">
        <w:trPr>
          <w:trHeight w:val="255"/>
        </w:trPr>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2237" w:type="dxa"/>
            <w:gridSpan w:val="2"/>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6380" w:type="dxa"/>
            <w:tcBorders>
              <w:top w:val="nil"/>
              <w:left w:val="nil"/>
              <w:bottom w:val="nil"/>
              <w:right w:val="nil"/>
            </w:tcBorders>
            <w:shd w:val="clear" w:color="auto" w:fill="auto"/>
            <w:noWrap/>
            <w:vAlign w:val="bottom"/>
            <w:hideMark/>
          </w:tcPr>
          <w:p w:rsidR="00380A06" w:rsidRPr="008B7A49" w:rsidRDefault="00380A06" w:rsidP="002A5FB8">
            <w:pPr>
              <w:rPr>
                <w:rFonts w:eastAsia="Times New Roman" w:cs="Arial"/>
                <w:color w:val="000000"/>
                <w:sz w:val="20"/>
                <w:szCs w:val="20"/>
                <w:lang w:eastAsia="nl-NL"/>
              </w:rPr>
            </w:pPr>
          </w:p>
        </w:tc>
        <w:tc>
          <w:tcPr>
            <w:tcW w:w="1280" w:type="dxa"/>
            <w:tcBorders>
              <w:top w:val="nil"/>
              <w:left w:val="nil"/>
              <w:bottom w:val="nil"/>
              <w:right w:val="nil"/>
            </w:tcBorders>
            <w:shd w:val="clear" w:color="auto" w:fill="auto"/>
            <w:noWrap/>
            <w:vAlign w:val="center"/>
            <w:hideMark/>
          </w:tcPr>
          <w:p w:rsidR="00380A06" w:rsidRPr="008B7A49" w:rsidRDefault="00380A06" w:rsidP="002C241A">
            <w:pPr>
              <w:jc w:val="right"/>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center"/>
            <w:hideMark/>
          </w:tcPr>
          <w:p w:rsidR="00380A06" w:rsidRPr="008B7A49" w:rsidRDefault="00380A06" w:rsidP="002C241A">
            <w:pPr>
              <w:jc w:val="right"/>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center"/>
            <w:hideMark/>
          </w:tcPr>
          <w:p w:rsidR="00380A06" w:rsidRPr="008B7A49" w:rsidRDefault="00380A06" w:rsidP="002C241A">
            <w:pPr>
              <w:jc w:val="right"/>
              <w:rPr>
                <w:rFonts w:eastAsia="Times New Roman" w:cs="Arial"/>
                <w:color w:val="000000"/>
                <w:sz w:val="20"/>
                <w:szCs w:val="20"/>
                <w:lang w:eastAsia="nl-NL"/>
              </w:rPr>
            </w:pPr>
          </w:p>
        </w:tc>
      </w:tr>
      <w:tr w:rsidR="00380A06" w:rsidRPr="008B7A49" w:rsidTr="00380A06">
        <w:trPr>
          <w:trHeight w:val="255"/>
        </w:trPr>
        <w:tc>
          <w:tcPr>
            <w:tcW w:w="1108" w:type="dxa"/>
            <w:gridSpan w:val="2"/>
            <w:tcBorders>
              <w:top w:val="single" w:sz="4" w:space="0" w:color="366092"/>
              <w:left w:val="nil"/>
              <w:bottom w:val="single" w:sz="8" w:space="0" w:color="366092"/>
              <w:right w:val="nil"/>
            </w:tcBorders>
            <w:shd w:val="clear" w:color="auto" w:fill="auto"/>
            <w:noWrap/>
            <w:vAlign w:val="bottom"/>
            <w:hideMark/>
          </w:tcPr>
          <w:p w:rsidR="00380A06" w:rsidRPr="008B7A49" w:rsidRDefault="00380A06" w:rsidP="002A5FB8">
            <w:pPr>
              <w:rPr>
                <w:rFonts w:eastAsia="Times New Roman" w:cs="Arial"/>
                <w:b/>
                <w:bCs/>
                <w:color w:val="000000"/>
                <w:sz w:val="20"/>
                <w:szCs w:val="20"/>
                <w:lang w:eastAsia="nl-NL"/>
              </w:rPr>
            </w:pPr>
            <w:r w:rsidRPr="008B7A49">
              <w:rPr>
                <w:rFonts w:eastAsia="Times New Roman" w:cs="Arial"/>
                <w:b/>
                <w:bCs/>
                <w:color w:val="000000"/>
                <w:sz w:val="20"/>
                <w:szCs w:val="20"/>
                <w:lang w:eastAsia="nl-NL"/>
              </w:rPr>
              <w:t>Eindtotaal</w:t>
            </w:r>
          </w:p>
        </w:tc>
        <w:tc>
          <w:tcPr>
            <w:tcW w:w="2237" w:type="dxa"/>
            <w:gridSpan w:val="2"/>
            <w:tcBorders>
              <w:top w:val="single" w:sz="4" w:space="0" w:color="366092"/>
              <w:left w:val="nil"/>
              <w:bottom w:val="single" w:sz="8" w:space="0" w:color="366092"/>
              <w:right w:val="nil"/>
            </w:tcBorders>
            <w:shd w:val="clear" w:color="auto" w:fill="auto"/>
            <w:noWrap/>
            <w:vAlign w:val="bottom"/>
            <w:hideMark/>
          </w:tcPr>
          <w:p w:rsidR="00380A06" w:rsidRPr="008B7A49" w:rsidRDefault="00380A06" w:rsidP="002A5FB8">
            <w:pPr>
              <w:rPr>
                <w:rFonts w:eastAsia="Times New Roman" w:cs="Arial"/>
                <w:b/>
                <w:bCs/>
                <w:color w:val="000000"/>
                <w:sz w:val="20"/>
                <w:szCs w:val="20"/>
                <w:lang w:eastAsia="nl-NL"/>
              </w:rPr>
            </w:pPr>
          </w:p>
        </w:tc>
        <w:tc>
          <w:tcPr>
            <w:tcW w:w="6380" w:type="dxa"/>
            <w:tcBorders>
              <w:top w:val="single" w:sz="4" w:space="0" w:color="366092"/>
              <w:left w:val="nil"/>
              <w:bottom w:val="single" w:sz="8" w:space="0" w:color="366092"/>
              <w:right w:val="nil"/>
            </w:tcBorders>
            <w:shd w:val="clear" w:color="auto" w:fill="auto"/>
            <w:noWrap/>
            <w:vAlign w:val="bottom"/>
            <w:hideMark/>
          </w:tcPr>
          <w:p w:rsidR="00380A06" w:rsidRPr="008B7A49" w:rsidRDefault="00380A06" w:rsidP="002A5FB8">
            <w:pPr>
              <w:rPr>
                <w:rFonts w:eastAsia="Times New Roman" w:cs="Arial"/>
                <w:b/>
                <w:bCs/>
                <w:color w:val="000000"/>
                <w:sz w:val="20"/>
                <w:szCs w:val="20"/>
                <w:lang w:eastAsia="nl-NL"/>
              </w:rPr>
            </w:pPr>
          </w:p>
        </w:tc>
        <w:tc>
          <w:tcPr>
            <w:tcW w:w="1280" w:type="dxa"/>
            <w:tcBorders>
              <w:top w:val="single" w:sz="4" w:space="0" w:color="366092"/>
              <w:left w:val="nil"/>
              <w:bottom w:val="single" w:sz="8" w:space="0" w:color="366092"/>
              <w:right w:val="nil"/>
            </w:tcBorders>
            <w:shd w:val="clear" w:color="auto" w:fill="auto"/>
            <w:noWrap/>
            <w:vAlign w:val="center"/>
            <w:hideMark/>
          </w:tcPr>
          <w:p w:rsidR="00380A06" w:rsidRPr="008B7A49" w:rsidRDefault="00380A06" w:rsidP="00F07713">
            <w:pPr>
              <w:jc w:val="right"/>
              <w:rPr>
                <w:rFonts w:eastAsia="Times New Roman" w:cs="Arial"/>
                <w:b/>
                <w:bCs/>
                <w:color w:val="000000"/>
                <w:sz w:val="20"/>
                <w:szCs w:val="20"/>
                <w:lang w:eastAsia="nl-NL"/>
              </w:rPr>
            </w:pPr>
            <w:r>
              <w:rPr>
                <w:rFonts w:eastAsia="Times New Roman" w:cs="Arial"/>
                <w:b/>
                <w:bCs/>
                <w:color w:val="000000"/>
                <w:sz w:val="20"/>
                <w:szCs w:val="20"/>
                <w:lang w:eastAsia="nl-NL"/>
              </w:rPr>
              <w:t>-</w:t>
            </w:r>
            <w:r w:rsidR="003A2C62">
              <w:rPr>
                <w:rFonts w:eastAsia="Times New Roman" w:cs="Arial"/>
                <w:b/>
                <w:bCs/>
                <w:color w:val="000000"/>
                <w:sz w:val="20"/>
                <w:szCs w:val="20"/>
                <w:lang w:eastAsia="nl-NL"/>
              </w:rPr>
              <w:t>1.</w:t>
            </w:r>
            <w:r w:rsidR="00F07713">
              <w:rPr>
                <w:rFonts w:eastAsia="Times New Roman" w:cs="Arial"/>
                <w:b/>
                <w:bCs/>
                <w:color w:val="000000"/>
                <w:sz w:val="20"/>
                <w:szCs w:val="20"/>
                <w:lang w:eastAsia="nl-NL"/>
              </w:rPr>
              <w:t>891</w:t>
            </w:r>
            <w:r>
              <w:rPr>
                <w:rFonts w:eastAsia="Times New Roman" w:cs="Arial"/>
                <w:b/>
                <w:bCs/>
                <w:color w:val="000000"/>
                <w:sz w:val="20"/>
                <w:szCs w:val="20"/>
                <w:lang w:eastAsia="nl-NL"/>
              </w:rPr>
              <w:t>.50</w:t>
            </w:r>
            <w:r w:rsidRPr="008B7A49">
              <w:rPr>
                <w:rFonts w:eastAsia="Times New Roman" w:cs="Arial"/>
                <w:b/>
                <w:bCs/>
                <w:color w:val="000000"/>
                <w:sz w:val="20"/>
                <w:szCs w:val="20"/>
                <w:lang w:eastAsia="nl-NL"/>
              </w:rPr>
              <w:t>0</w:t>
            </w:r>
          </w:p>
        </w:tc>
        <w:tc>
          <w:tcPr>
            <w:tcW w:w="1340" w:type="dxa"/>
            <w:tcBorders>
              <w:top w:val="single" w:sz="4" w:space="0" w:color="366092"/>
              <w:left w:val="nil"/>
              <w:bottom w:val="single" w:sz="8" w:space="0" w:color="366092"/>
              <w:right w:val="nil"/>
            </w:tcBorders>
            <w:shd w:val="clear" w:color="auto" w:fill="auto"/>
            <w:noWrap/>
            <w:vAlign w:val="center"/>
            <w:hideMark/>
          </w:tcPr>
          <w:p w:rsidR="00380A06" w:rsidRPr="008B7A49" w:rsidRDefault="00380A06" w:rsidP="002C241A">
            <w:pPr>
              <w:jc w:val="right"/>
              <w:rPr>
                <w:rFonts w:eastAsia="Times New Roman" w:cs="Arial"/>
                <w:b/>
                <w:bCs/>
                <w:color w:val="000000"/>
                <w:sz w:val="20"/>
                <w:szCs w:val="20"/>
                <w:lang w:eastAsia="nl-NL"/>
              </w:rPr>
            </w:pPr>
            <w:r w:rsidRPr="008B7A49">
              <w:rPr>
                <w:rFonts w:eastAsia="Times New Roman" w:cs="Arial"/>
                <w:b/>
                <w:bCs/>
                <w:color w:val="000000"/>
                <w:sz w:val="20"/>
                <w:szCs w:val="20"/>
                <w:lang w:eastAsia="nl-NL"/>
              </w:rPr>
              <w:t>0</w:t>
            </w:r>
          </w:p>
        </w:tc>
        <w:tc>
          <w:tcPr>
            <w:tcW w:w="1340" w:type="dxa"/>
            <w:tcBorders>
              <w:top w:val="single" w:sz="4" w:space="0" w:color="366092"/>
              <w:left w:val="nil"/>
              <w:bottom w:val="single" w:sz="8" w:space="0" w:color="366092"/>
              <w:right w:val="nil"/>
            </w:tcBorders>
            <w:shd w:val="clear" w:color="auto" w:fill="auto"/>
            <w:noWrap/>
            <w:vAlign w:val="center"/>
            <w:hideMark/>
          </w:tcPr>
          <w:p w:rsidR="00380A06" w:rsidRPr="008B7A49" w:rsidRDefault="00380A06" w:rsidP="00F07713">
            <w:pPr>
              <w:jc w:val="right"/>
              <w:rPr>
                <w:rFonts w:eastAsia="Times New Roman" w:cs="Arial"/>
                <w:b/>
                <w:bCs/>
                <w:color w:val="000000"/>
                <w:sz w:val="20"/>
                <w:szCs w:val="20"/>
                <w:lang w:eastAsia="nl-NL"/>
              </w:rPr>
            </w:pPr>
            <w:r>
              <w:rPr>
                <w:rFonts w:eastAsia="Times New Roman" w:cs="Arial"/>
                <w:b/>
                <w:bCs/>
                <w:color w:val="000000"/>
                <w:sz w:val="20"/>
                <w:szCs w:val="20"/>
                <w:lang w:eastAsia="nl-NL"/>
              </w:rPr>
              <w:t>-1</w:t>
            </w:r>
            <w:r w:rsidR="003A2C62">
              <w:rPr>
                <w:rFonts w:eastAsia="Times New Roman" w:cs="Arial"/>
                <w:b/>
                <w:bCs/>
                <w:color w:val="000000"/>
                <w:sz w:val="20"/>
                <w:szCs w:val="20"/>
                <w:lang w:eastAsia="nl-NL"/>
              </w:rPr>
              <w:t>.</w:t>
            </w:r>
            <w:r w:rsidR="00F07713">
              <w:rPr>
                <w:rFonts w:eastAsia="Times New Roman" w:cs="Arial"/>
                <w:b/>
                <w:bCs/>
                <w:color w:val="000000"/>
                <w:sz w:val="20"/>
                <w:szCs w:val="20"/>
                <w:lang w:eastAsia="nl-NL"/>
              </w:rPr>
              <w:t>891</w:t>
            </w:r>
            <w:r>
              <w:rPr>
                <w:rFonts w:eastAsia="Times New Roman" w:cs="Arial"/>
                <w:b/>
                <w:bCs/>
                <w:color w:val="000000"/>
                <w:sz w:val="20"/>
                <w:szCs w:val="20"/>
                <w:lang w:eastAsia="nl-NL"/>
              </w:rPr>
              <w:t>.50</w:t>
            </w:r>
            <w:r w:rsidRPr="008B7A49">
              <w:rPr>
                <w:rFonts w:eastAsia="Times New Roman" w:cs="Arial"/>
                <w:b/>
                <w:bCs/>
                <w:color w:val="000000"/>
                <w:sz w:val="20"/>
                <w:szCs w:val="20"/>
                <w:lang w:eastAsia="nl-NL"/>
              </w:rPr>
              <w:t>0</w:t>
            </w:r>
          </w:p>
        </w:tc>
      </w:tr>
    </w:tbl>
    <w:p w:rsidR="002A5FB8" w:rsidRDefault="002A5FB8">
      <w:pPr>
        <w:rPr>
          <w:rFonts w:asciiTheme="majorHAnsi" w:eastAsiaTheme="majorEastAsia" w:hAnsiTheme="majorHAnsi" w:cstheme="majorBidi"/>
          <w:b/>
          <w:bCs/>
          <w:color w:val="365F91" w:themeColor="accent1" w:themeShade="BF"/>
          <w:sz w:val="28"/>
          <w:szCs w:val="28"/>
        </w:rPr>
      </w:pPr>
      <w:r>
        <w:br w:type="page"/>
      </w:r>
    </w:p>
    <w:p w:rsidR="00C92E1B" w:rsidRPr="00C92E1B" w:rsidRDefault="00C92E1B" w:rsidP="00C92E1B">
      <w:pPr>
        <w:pStyle w:val="Kop1"/>
      </w:pPr>
      <w:bookmarkStart w:id="9" w:name="_Toc525046029"/>
      <w:r w:rsidRPr="00C92E1B">
        <w:lastRenderedPageBreak/>
        <w:t>Bijlage 2 Wijzigingen over programma’s, zonder resultaatsimpact</w:t>
      </w:r>
      <w:bookmarkEnd w:id="8"/>
      <w:bookmarkEnd w:id="9"/>
    </w:p>
    <w:p w:rsidR="00C92E1B" w:rsidRPr="00C92E1B" w:rsidRDefault="00C92E1B" w:rsidP="00C92E1B"/>
    <w:tbl>
      <w:tblPr>
        <w:tblW w:w="13685" w:type="dxa"/>
        <w:tblInd w:w="55" w:type="dxa"/>
        <w:tblCellMar>
          <w:left w:w="70" w:type="dxa"/>
          <w:right w:w="70" w:type="dxa"/>
        </w:tblCellMar>
        <w:tblLook w:val="04A0" w:firstRow="1" w:lastRow="0" w:firstColumn="1" w:lastColumn="0" w:noHBand="0" w:noVBand="1"/>
      </w:tblPr>
      <w:tblGrid>
        <w:gridCol w:w="554"/>
        <w:gridCol w:w="554"/>
        <w:gridCol w:w="2237"/>
        <w:gridCol w:w="6380"/>
        <w:gridCol w:w="1280"/>
        <w:gridCol w:w="1340"/>
        <w:gridCol w:w="1340"/>
      </w:tblGrid>
      <w:tr w:rsidR="00BD79A7" w:rsidRPr="00BD79A7" w:rsidTr="00BD79A7">
        <w:trPr>
          <w:trHeight w:val="600"/>
        </w:trPr>
        <w:tc>
          <w:tcPr>
            <w:tcW w:w="9725" w:type="dxa"/>
            <w:gridSpan w:val="4"/>
            <w:tcBorders>
              <w:top w:val="nil"/>
              <w:left w:val="nil"/>
              <w:bottom w:val="nil"/>
              <w:right w:val="nil"/>
            </w:tcBorders>
            <w:shd w:val="clear" w:color="000000" w:fill="4F81BD"/>
            <w:noWrap/>
            <w:vAlign w:val="center"/>
            <w:hideMark/>
          </w:tcPr>
          <w:p w:rsidR="00BD79A7" w:rsidRPr="00BD79A7" w:rsidRDefault="00BD79A7" w:rsidP="00BD79A7">
            <w:pPr>
              <w:rPr>
                <w:rFonts w:eastAsia="Times New Roman" w:cs="Arial"/>
                <w:b/>
                <w:color w:val="FFFFFF"/>
                <w:sz w:val="20"/>
                <w:szCs w:val="20"/>
                <w:lang w:eastAsia="nl-NL"/>
              </w:rPr>
            </w:pPr>
            <w:bookmarkStart w:id="10" w:name="_Toc523147909"/>
            <w:proofErr w:type="spellStart"/>
            <w:r w:rsidRPr="00BD79A7">
              <w:rPr>
                <w:rFonts w:eastAsia="Times New Roman" w:cs="Arial"/>
                <w:b/>
                <w:color w:val="FFFFFF"/>
                <w:sz w:val="20"/>
                <w:szCs w:val="20"/>
                <w:lang w:eastAsia="nl-NL"/>
              </w:rPr>
              <w:t>Najaarsrapportage</w:t>
            </w:r>
            <w:proofErr w:type="spellEnd"/>
            <w:r w:rsidRPr="00BD79A7">
              <w:rPr>
                <w:rFonts w:eastAsia="Times New Roman" w:cs="Arial"/>
                <w:b/>
                <w:color w:val="FFFFFF"/>
                <w:sz w:val="20"/>
                <w:szCs w:val="20"/>
                <w:lang w:eastAsia="nl-NL"/>
              </w:rPr>
              <w:t xml:space="preserve"> 2018 </w:t>
            </w:r>
            <w:r w:rsidR="000A7313">
              <w:rPr>
                <w:rFonts w:eastAsia="Times New Roman" w:cs="Arial"/>
                <w:b/>
                <w:color w:val="FFFFFF"/>
                <w:sz w:val="20"/>
                <w:szCs w:val="20"/>
                <w:lang w:eastAsia="nl-NL"/>
              </w:rPr>
              <w:t>–</w:t>
            </w:r>
            <w:r w:rsidRPr="00BD79A7">
              <w:rPr>
                <w:rFonts w:eastAsia="Times New Roman" w:cs="Arial"/>
                <w:b/>
                <w:color w:val="FFFFFF"/>
                <w:sz w:val="20"/>
                <w:szCs w:val="20"/>
                <w:lang w:eastAsia="nl-NL"/>
              </w:rPr>
              <w:t xml:space="preserve"> programmawijzigingen</w:t>
            </w:r>
            <w:r w:rsidR="000A7313">
              <w:rPr>
                <w:rFonts w:eastAsia="Times New Roman" w:cs="Arial"/>
                <w:b/>
                <w:color w:val="FFFFFF"/>
                <w:sz w:val="20"/>
                <w:szCs w:val="20"/>
                <w:lang w:eastAsia="nl-NL"/>
              </w:rPr>
              <w:t xml:space="preserve">                                           </w:t>
            </w:r>
            <w:r w:rsidR="000A7313" w:rsidRPr="000A7313">
              <w:rPr>
                <w:rFonts w:eastAsia="Times New Roman" w:cs="Arial"/>
                <w:color w:val="FFFFFF"/>
                <w:sz w:val="20"/>
                <w:szCs w:val="20"/>
                <w:lang w:eastAsia="nl-NL"/>
              </w:rPr>
              <w:t>(-) is nadeel</w:t>
            </w:r>
          </w:p>
        </w:tc>
        <w:tc>
          <w:tcPr>
            <w:tcW w:w="1280" w:type="dxa"/>
            <w:tcBorders>
              <w:top w:val="nil"/>
              <w:left w:val="nil"/>
              <w:bottom w:val="nil"/>
              <w:right w:val="nil"/>
            </w:tcBorders>
            <w:shd w:val="clear" w:color="000000" w:fill="4F81BD"/>
            <w:noWrap/>
            <w:vAlign w:val="center"/>
            <w:hideMark/>
          </w:tcPr>
          <w:p w:rsidR="00BD79A7" w:rsidRPr="00BD79A7" w:rsidRDefault="00BD79A7" w:rsidP="000A7313">
            <w:pPr>
              <w:jc w:val="center"/>
              <w:rPr>
                <w:rFonts w:eastAsia="Times New Roman" w:cs="Arial"/>
                <w:b/>
                <w:color w:val="FFFFFF"/>
                <w:sz w:val="20"/>
                <w:szCs w:val="20"/>
                <w:lang w:eastAsia="nl-NL"/>
              </w:rPr>
            </w:pPr>
            <w:r w:rsidRPr="00BD79A7">
              <w:rPr>
                <w:rFonts w:eastAsia="Times New Roman" w:cs="Arial"/>
                <w:b/>
                <w:color w:val="FFFFFF"/>
                <w:sz w:val="20"/>
                <w:szCs w:val="20"/>
                <w:lang w:eastAsia="nl-NL"/>
              </w:rPr>
              <w:t>Incidenteel</w:t>
            </w:r>
          </w:p>
        </w:tc>
        <w:tc>
          <w:tcPr>
            <w:tcW w:w="1340" w:type="dxa"/>
            <w:tcBorders>
              <w:top w:val="nil"/>
              <w:left w:val="nil"/>
              <w:bottom w:val="nil"/>
              <w:right w:val="nil"/>
            </w:tcBorders>
            <w:shd w:val="clear" w:color="000000" w:fill="4F81BD"/>
            <w:noWrap/>
            <w:vAlign w:val="center"/>
            <w:hideMark/>
          </w:tcPr>
          <w:p w:rsidR="00BD79A7" w:rsidRPr="00BD79A7" w:rsidRDefault="00BD79A7" w:rsidP="000A7313">
            <w:pPr>
              <w:jc w:val="center"/>
              <w:rPr>
                <w:rFonts w:eastAsia="Times New Roman" w:cs="Arial"/>
                <w:b/>
                <w:color w:val="FFFFFF"/>
                <w:sz w:val="20"/>
                <w:szCs w:val="20"/>
                <w:lang w:eastAsia="nl-NL"/>
              </w:rPr>
            </w:pPr>
            <w:r w:rsidRPr="00BD79A7">
              <w:rPr>
                <w:rFonts w:eastAsia="Times New Roman" w:cs="Arial"/>
                <w:b/>
                <w:color w:val="FFFFFF"/>
                <w:sz w:val="20"/>
                <w:szCs w:val="20"/>
                <w:lang w:eastAsia="nl-NL"/>
              </w:rPr>
              <w:t>Structureel</w:t>
            </w:r>
          </w:p>
        </w:tc>
        <w:tc>
          <w:tcPr>
            <w:tcW w:w="1340" w:type="dxa"/>
            <w:tcBorders>
              <w:top w:val="nil"/>
              <w:left w:val="nil"/>
              <w:bottom w:val="nil"/>
              <w:right w:val="nil"/>
            </w:tcBorders>
            <w:shd w:val="clear" w:color="000000" w:fill="4F81BD"/>
            <w:noWrap/>
            <w:vAlign w:val="center"/>
            <w:hideMark/>
          </w:tcPr>
          <w:p w:rsidR="00BD79A7" w:rsidRPr="00BD79A7" w:rsidRDefault="00BD79A7" w:rsidP="000A7313">
            <w:pPr>
              <w:jc w:val="center"/>
              <w:rPr>
                <w:rFonts w:eastAsia="Times New Roman" w:cs="Arial"/>
                <w:b/>
                <w:color w:val="FFFFFF"/>
                <w:sz w:val="20"/>
                <w:szCs w:val="20"/>
                <w:lang w:eastAsia="nl-NL"/>
              </w:rPr>
            </w:pPr>
            <w:r w:rsidRPr="00BD79A7">
              <w:rPr>
                <w:rFonts w:eastAsia="Times New Roman" w:cs="Arial"/>
                <w:b/>
                <w:color w:val="FFFFFF"/>
                <w:sz w:val="20"/>
                <w:szCs w:val="20"/>
                <w:lang w:eastAsia="nl-NL"/>
              </w:rPr>
              <w:t>Totaal</w:t>
            </w:r>
          </w:p>
        </w:tc>
      </w:tr>
      <w:tr w:rsidR="00BD79A7" w:rsidRPr="00BD79A7" w:rsidTr="00BD79A7">
        <w:trPr>
          <w:trHeight w:val="255"/>
        </w:trPr>
        <w:tc>
          <w:tcPr>
            <w:tcW w:w="3345" w:type="dxa"/>
            <w:gridSpan w:val="3"/>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r w:rsidRPr="00BD79A7">
              <w:rPr>
                <w:rFonts w:eastAsia="Times New Roman" w:cs="Arial"/>
                <w:b/>
                <w:bCs/>
                <w:color w:val="000000"/>
                <w:sz w:val="20"/>
                <w:szCs w:val="20"/>
                <w:lang w:eastAsia="nl-NL"/>
              </w:rPr>
              <w:t>1. Sociale Domein</w:t>
            </w:r>
          </w:p>
        </w:tc>
        <w:tc>
          <w:tcPr>
            <w:tcW w:w="638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c>
          <w:tcPr>
            <w:tcW w:w="128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2791" w:type="dxa"/>
            <w:gridSpan w:val="2"/>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u w:val="single"/>
                <w:lang w:eastAsia="nl-NL"/>
              </w:rPr>
            </w:pPr>
            <w:r w:rsidRPr="00BD79A7">
              <w:rPr>
                <w:rFonts w:eastAsia="Times New Roman" w:cs="Arial"/>
                <w:b/>
                <w:bCs/>
                <w:color w:val="000000"/>
                <w:sz w:val="18"/>
                <w:szCs w:val="18"/>
                <w:u w:val="single"/>
                <w:lang w:eastAsia="nl-NL"/>
              </w:rPr>
              <w:t>Lasten</w:t>
            </w:r>
          </w:p>
        </w:tc>
        <w:tc>
          <w:tcPr>
            <w:tcW w:w="63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2791" w:type="dxa"/>
            <w:gridSpan w:val="2"/>
            <w:tcBorders>
              <w:top w:val="nil"/>
              <w:left w:val="nil"/>
              <w:bottom w:val="nil"/>
              <w:right w:val="nil"/>
            </w:tcBorders>
            <w:shd w:val="clear" w:color="auto" w:fill="auto"/>
            <w:noWrap/>
            <w:vAlign w:val="bottom"/>
            <w:hideMark/>
          </w:tcPr>
          <w:p w:rsidR="00BD79A7" w:rsidRPr="00BD79A7" w:rsidRDefault="00BD79A7" w:rsidP="00BD79A7">
            <w:pPr>
              <w:ind w:firstLineChars="100" w:firstLine="181"/>
              <w:rPr>
                <w:rFonts w:eastAsia="Times New Roman" w:cs="Arial"/>
                <w:b/>
                <w:bCs/>
                <w:color w:val="000000"/>
                <w:sz w:val="18"/>
                <w:szCs w:val="18"/>
                <w:lang w:eastAsia="nl-NL"/>
              </w:rPr>
            </w:pPr>
            <w:r w:rsidRPr="00BD79A7">
              <w:rPr>
                <w:rFonts w:eastAsia="Times New Roman" w:cs="Arial"/>
                <w:b/>
                <w:bCs/>
                <w:color w:val="000000"/>
                <w:sz w:val="18"/>
                <w:szCs w:val="18"/>
                <w:lang w:eastAsia="nl-NL"/>
              </w:rPr>
              <w:t>WMO</w:t>
            </w:r>
          </w:p>
        </w:tc>
        <w:tc>
          <w:tcPr>
            <w:tcW w:w="63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r>
      <w:tr w:rsidR="00BD79A7" w:rsidRPr="00BD79A7" w:rsidTr="00BD79A7">
        <w:trPr>
          <w:trHeight w:val="887"/>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vAlign w:val="center"/>
            <w:hideMark/>
          </w:tcPr>
          <w:p w:rsidR="00BD79A7" w:rsidRPr="00BD79A7" w:rsidRDefault="00BD79A7" w:rsidP="00BD79A7">
            <w:pPr>
              <w:rPr>
                <w:rFonts w:eastAsia="Times New Roman" w:cs="Arial"/>
                <w:color w:val="000000"/>
                <w:sz w:val="18"/>
                <w:szCs w:val="18"/>
                <w:lang w:eastAsia="nl-NL"/>
              </w:rPr>
            </w:pPr>
            <w:r w:rsidRPr="00BD79A7">
              <w:rPr>
                <w:rFonts w:eastAsia="Times New Roman" w:cs="Arial"/>
                <w:color w:val="000000"/>
                <w:sz w:val="18"/>
                <w:szCs w:val="18"/>
                <w:lang w:eastAsia="nl-NL"/>
              </w:rPr>
              <w:t>64001/42310</w:t>
            </w:r>
          </w:p>
        </w:tc>
        <w:tc>
          <w:tcPr>
            <w:tcW w:w="6380" w:type="dxa"/>
            <w:tcBorders>
              <w:top w:val="nil"/>
              <w:left w:val="nil"/>
              <w:bottom w:val="nil"/>
              <w:right w:val="nil"/>
            </w:tcBorders>
            <w:shd w:val="clear" w:color="auto" w:fill="auto"/>
            <w:vAlign w:val="bottom"/>
            <w:hideMark/>
          </w:tcPr>
          <w:p w:rsidR="00BD79A7" w:rsidRPr="00BD79A7" w:rsidRDefault="00DD4494" w:rsidP="00831053">
            <w:pPr>
              <w:rPr>
                <w:rFonts w:eastAsia="Times New Roman" w:cs="Arial"/>
                <w:bCs/>
                <w:color w:val="000000"/>
                <w:sz w:val="18"/>
                <w:szCs w:val="18"/>
                <w:lang w:eastAsia="nl-NL"/>
              </w:rPr>
            </w:pPr>
            <w:r w:rsidRPr="00DD4494">
              <w:rPr>
                <w:rFonts w:eastAsia="Times New Roman" w:cs="Arial"/>
                <w:bCs/>
                <w:color w:val="000000"/>
                <w:sz w:val="18"/>
                <w:szCs w:val="18"/>
                <w:lang w:eastAsia="nl-NL"/>
              </w:rPr>
              <w:t>Maatwerkbudget</w:t>
            </w:r>
            <w:r w:rsidR="00501A84">
              <w:rPr>
                <w:rFonts w:eastAsia="Times New Roman" w:cs="Arial"/>
                <w:bCs/>
                <w:color w:val="000000"/>
                <w:sz w:val="18"/>
                <w:szCs w:val="18"/>
                <w:lang w:eastAsia="nl-NL"/>
              </w:rPr>
              <w:t>:</w:t>
            </w:r>
            <w:r w:rsidRPr="00DD4494">
              <w:rPr>
                <w:rFonts w:eastAsia="Times New Roman" w:cs="Arial"/>
                <w:bCs/>
                <w:color w:val="000000"/>
                <w:sz w:val="18"/>
                <w:szCs w:val="18"/>
                <w:lang w:eastAsia="nl-NL"/>
              </w:rPr>
              <w:t xml:space="preserve"> </w:t>
            </w:r>
            <w:r w:rsidR="00501A84">
              <w:rPr>
                <w:color w:val="000000"/>
                <w:sz w:val="18"/>
                <w:szCs w:val="18"/>
                <w:lang w:eastAsia="nl-NL"/>
              </w:rPr>
              <w:t xml:space="preserve">in sommige gevallen waarin wij zorg aanbieden wordt betwist wat voor zorg het is (WMO of </w:t>
            </w:r>
            <w:proofErr w:type="spellStart"/>
            <w:r w:rsidR="00501A84">
              <w:rPr>
                <w:color w:val="000000"/>
                <w:sz w:val="18"/>
                <w:szCs w:val="18"/>
                <w:lang w:eastAsia="nl-NL"/>
              </w:rPr>
              <w:t>Wlz</w:t>
            </w:r>
            <w:proofErr w:type="spellEnd"/>
            <w:r w:rsidR="00501A84">
              <w:rPr>
                <w:color w:val="000000"/>
                <w:sz w:val="18"/>
                <w:szCs w:val="18"/>
                <w:lang w:eastAsia="nl-NL"/>
              </w:rPr>
              <w:t>). Als wij dergelijke kosten rechtstreeks uit de WMO betalen, erkennen wij dat het WMO is, hetgeen we juist betwisten. Om de uitvoering wel te kunnen laten plaatsvinden stellen we voor om budget hiervoor over te hevelen naar het GBT, zodat we deze kosten beheersbaarder kunnen maken.</w:t>
            </w:r>
          </w:p>
        </w:tc>
        <w:tc>
          <w:tcPr>
            <w:tcW w:w="1280" w:type="dxa"/>
            <w:tcBorders>
              <w:top w:val="nil"/>
              <w:left w:val="nil"/>
              <w:bottom w:val="nil"/>
              <w:right w:val="nil"/>
            </w:tcBorders>
            <w:shd w:val="clear" w:color="auto" w:fill="auto"/>
            <w:noWrap/>
            <w:vAlign w:val="center"/>
            <w:hideMark/>
          </w:tcPr>
          <w:p w:rsidR="00BD79A7" w:rsidRPr="00BD79A7" w:rsidRDefault="00C00327" w:rsidP="00BD79A7">
            <w:pPr>
              <w:jc w:val="right"/>
              <w:rPr>
                <w:rFonts w:eastAsia="Times New Roman" w:cs="Arial"/>
                <w:color w:val="000000"/>
                <w:sz w:val="18"/>
                <w:szCs w:val="18"/>
                <w:lang w:eastAsia="nl-NL"/>
              </w:rPr>
            </w:pPr>
            <w:r>
              <w:rPr>
                <w:rFonts w:eastAsia="Times New Roman" w:cs="Arial"/>
                <w:color w:val="000000"/>
                <w:sz w:val="18"/>
                <w:szCs w:val="18"/>
                <w:lang w:eastAsia="nl-NL"/>
              </w:rPr>
              <w:t>25.000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25.000</w:t>
            </w:r>
          </w:p>
        </w:tc>
      </w:tr>
      <w:tr w:rsidR="00BD79A7" w:rsidRPr="00BD79A7" w:rsidTr="00BD79A7">
        <w:trPr>
          <w:trHeight w:val="480"/>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hideMark/>
          </w:tcPr>
          <w:p w:rsidR="00BD79A7" w:rsidRPr="00BD79A7" w:rsidRDefault="00BD79A7" w:rsidP="00BD79A7">
            <w:pPr>
              <w:rPr>
                <w:rFonts w:eastAsia="Times New Roman" w:cs="Arial"/>
                <w:color w:val="000000"/>
                <w:sz w:val="18"/>
                <w:szCs w:val="18"/>
                <w:lang w:eastAsia="nl-NL"/>
              </w:rPr>
            </w:pPr>
          </w:p>
        </w:tc>
        <w:tc>
          <w:tcPr>
            <w:tcW w:w="6380" w:type="dxa"/>
            <w:tcBorders>
              <w:top w:val="nil"/>
              <w:left w:val="nil"/>
              <w:bottom w:val="nil"/>
              <w:right w:val="nil"/>
            </w:tcBorders>
            <w:shd w:val="clear" w:color="auto" w:fill="auto"/>
            <w:vAlign w:val="bottom"/>
            <w:hideMark/>
          </w:tcPr>
          <w:p w:rsidR="00BD79A7" w:rsidRPr="00BD79A7" w:rsidRDefault="00BD79A7" w:rsidP="00BD79A7">
            <w:pPr>
              <w:rPr>
                <w:rFonts w:eastAsia="Times New Roman" w:cs="Arial"/>
                <w:bCs/>
                <w:color w:val="000000"/>
                <w:sz w:val="18"/>
                <w:szCs w:val="18"/>
                <w:lang w:eastAsia="nl-NL"/>
              </w:rPr>
            </w:pPr>
            <w:r w:rsidRPr="00BD79A7">
              <w:rPr>
                <w:rFonts w:eastAsia="Times New Roman" w:cs="Arial"/>
                <w:bCs/>
                <w:color w:val="000000"/>
                <w:sz w:val="18"/>
                <w:szCs w:val="18"/>
                <w:lang w:eastAsia="nl-NL"/>
              </w:rPr>
              <w:t>De financiële gevolgen van de vervolgstap doorontwikkeling GBT waren bij de voorjaarsrapportage niet volledig verwerkt.</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8.795</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8.795</w:t>
            </w: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2791" w:type="dxa"/>
            <w:gridSpan w:val="2"/>
            <w:tcBorders>
              <w:top w:val="nil"/>
              <w:left w:val="nil"/>
              <w:bottom w:val="nil"/>
              <w:right w:val="nil"/>
            </w:tcBorders>
            <w:shd w:val="clear" w:color="auto" w:fill="auto"/>
            <w:noWrap/>
            <w:vAlign w:val="bottom"/>
            <w:hideMark/>
          </w:tcPr>
          <w:p w:rsidR="00BD79A7" w:rsidRPr="00BD79A7" w:rsidRDefault="00BD79A7" w:rsidP="00BD79A7">
            <w:pPr>
              <w:ind w:firstLineChars="100" w:firstLine="181"/>
              <w:rPr>
                <w:rFonts w:eastAsia="Times New Roman" w:cs="Arial"/>
                <w:b/>
                <w:bCs/>
                <w:color w:val="000000"/>
                <w:sz w:val="18"/>
                <w:szCs w:val="18"/>
                <w:lang w:eastAsia="nl-NL"/>
              </w:rPr>
            </w:pPr>
            <w:r w:rsidRPr="00BD79A7">
              <w:rPr>
                <w:rFonts w:eastAsia="Times New Roman" w:cs="Arial"/>
                <w:b/>
                <w:bCs/>
                <w:color w:val="000000"/>
                <w:sz w:val="18"/>
                <w:szCs w:val="18"/>
                <w:lang w:eastAsia="nl-NL"/>
              </w:rPr>
              <w:t>Jeugdzorg</w:t>
            </w:r>
          </w:p>
        </w:tc>
        <w:tc>
          <w:tcPr>
            <w:tcW w:w="63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Cs/>
                <w:color w:val="000000"/>
                <w:sz w:val="18"/>
                <w:szCs w:val="18"/>
                <w:lang w:eastAsia="nl-NL"/>
              </w:rPr>
            </w:pP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r>
      <w:tr w:rsidR="00BD79A7" w:rsidRPr="00BD79A7" w:rsidTr="00BD79A7">
        <w:trPr>
          <w:trHeight w:val="480"/>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vAlign w:val="center"/>
            <w:hideMark/>
          </w:tcPr>
          <w:p w:rsidR="00BD79A7" w:rsidRPr="00BD79A7" w:rsidRDefault="00BD79A7" w:rsidP="00BD79A7">
            <w:pPr>
              <w:rPr>
                <w:rFonts w:eastAsia="Times New Roman" w:cs="Arial"/>
                <w:color w:val="000000"/>
                <w:sz w:val="18"/>
                <w:szCs w:val="18"/>
                <w:lang w:eastAsia="nl-NL"/>
              </w:rPr>
            </w:pPr>
            <w:r w:rsidRPr="00BD79A7">
              <w:rPr>
                <w:rFonts w:eastAsia="Times New Roman" w:cs="Arial"/>
                <w:color w:val="000000"/>
                <w:sz w:val="18"/>
                <w:szCs w:val="18"/>
                <w:lang w:eastAsia="nl-NL"/>
              </w:rPr>
              <w:t>64810/34300</w:t>
            </w:r>
          </w:p>
        </w:tc>
        <w:tc>
          <w:tcPr>
            <w:tcW w:w="6380" w:type="dxa"/>
            <w:tcBorders>
              <w:top w:val="nil"/>
              <w:left w:val="nil"/>
              <w:bottom w:val="nil"/>
              <w:right w:val="nil"/>
            </w:tcBorders>
            <w:shd w:val="clear" w:color="auto" w:fill="auto"/>
            <w:vAlign w:val="bottom"/>
            <w:hideMark/>
          </w:tcPr>
          <w:p w:rsidR="00BD79A7" w:rsidRPr="00BD79A7" w:rsidRDefault="00BD79A7" w:rsidP="00BD79A7">
            <w:pPr>
              <w:rPr>
                <w:rFonts w:eastAsia="Times New Roman" w:cs="Arial"/>
                <w:bCs/>
                <w:color w:val="000000"/>
                <w:sz w:val="18"/>
                <w:szCs w:val="18"/>
                <w:lang w:eastAsia="nl-NL"/>
              </w:rPr>
            </w:pPr>
            <w:r w:rsidRPr="00BD79A7">
              <w:rPr>
                <w:rFonts w:eastAsia="Times New Roman" w:cs="Arial"/>
                <w:bCs/>
                <w:color w:val="000000"/>
                <w:sz w:val="18"/>
                <w:szCs w:val="18"/>
                <w:lang w:eastAsia="nl-NL"/>
              </w:rPr>
              <w:t>De financiële gevolgen van de vervolgstap doorontwikkeling GBT waren bij de voorjaarsrapportage niet volledig verwerkt.</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8.795</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8.795</w:t>
            </w:r>
          </w:p>
        </w:tc>
      </w:tr>
      <w:tr w:rsidR="00BD79A7" w:rsidRPr="00BD79A7" w:rsidTr="00BD79A7">
        <w:trPr>
          <w:trHeight w:val="255"/>
        </w:trPr>
        <w:tc>
          <w:tcPr>
            <w:tcW w:w="3345" w:type="dxa"/>
            <w:gridSpan w:val="3"/>
            <w:tcBorders>
              <w:top w:val="nil"/>
              <w:left w:val="nil"/>
              <w:bottom w:val="nil"/>
              <w:right w:val="nil"/>
            </w:tcBorders>
            <w:shd w:val="clear" w:color="B8CCE4" w:fill="B8CCE4"/>
            <w:noWrap/>
            <w:vAlign w:val="bottom"/>
            <w:hideMark/>
          </w:tcPr>
          <w:p w:rsidR="00BD79A7" w:rsidRPr="00BD79A7" w:rsidRDefault="00BD79A7" w:rsidP="00BD79A7">
            <w:pPr>
              <w:rPr>
                <w:rFonts w:eastAsia="Times New Roman" w:cs="Arial"/>
                <w:b/>
                <w:bCs/>
                <w:color w:val="000000"/>
                <w:sz w:val="18"/>
                <w:szCs w:val="18"/>
                <w:lang w:eastAsia="nl-NL"/>
              </w:rPr>
            </w:pPr>
            <w:r w:rsidRPr="00BD79A7">
              <w:rPr>
                <w:rFonts w:eastAsia="Times New Roman" w:cs="Arial"/>
                <w:b/>
                <w:bCs/>
                <w:color w:val="000000"/>
                <w:sz w:val="18"/>
                <w:szCs w:val="18"/>
                <w:lang w:eastAsia="nl-NL"/>
              </w:rPr>
              <w:t>Totaal 1. Sociale Domein</w:t>
            </w:r>
          </w:p>
        </w:tc>
        <w:tc>
          <w:tcPr>
            <w:tcW w:w="6380" w:type="dxa"/>
            <w:tcBorders>
              <w:top w:val="nil"/>
              <w:left w:val="nil"/>
              <w:bottom w:val="nil"/>
              <w:right w:val="nil"/>
            </w:tcBorders>
            <w:shd w:val="clear" w:color="B8CCE4" w:fill="B8CCE4"/>
            <w:noWrap/>
            <w:vAlign w:val="bottom"/>
            <w:hideMark/>
          </w:tcPr>
          <w:p w:rsidR="00BD79A7" w:rsidRPr="00BD79A7" w:rsidRDefault="00BD79A7" w:rsidP="00BD79A7">
            <w:pPr>
              <w:rPr>
                <w:rFonts w:eastAsia="Times New Roman" w:cs="Arial"/>
                <w:b/>
                <w:bCs/>
                <w:color w:val="000000"/>
                <w:sz w:val="18"/>
                <w:szCs w:val="18"/>
                <w:lang w:eastAsia="nl-NL"/>
              </w:rPr>
            </w:pPr>
          </w:p>
        </w:tc>
        <w:tc>
          <w:tcPr>
            <w:tcW w:w="1280" w:type="dxa"/>
            <w:tcBorders>
              <w:top w:val="nil"/>
              <w:left w:val="nil"/>
              <w:bottom w:val="nil"/>
              <w:right w:val="nil"/>
            </w:tcBorders>
            <w:shd w:val="clear" w:color="B8CCE4" w:fill="B8CCE4"/>
            <w:noWrap/>
            <w:vAlign w:val="bottom"/>
            <w:hideMark/>
          </w:tcPr>
          <w:p w:rsidR="00BD79A7" w:rsidRPr="00BD79A7" w:rsidRDefault="00C00327" w:rsidP="00BD79A7">
            <w:pPr>
              <w:jc w:val="right"/>
              <w:rPr>
                <w:rFonts w:eastAsia="Times New Roman" w:cs="Arial"/>
                <w:b/>
                <w:bCs/>
                <w:color w:val="000000"/>
                <w:sz w:val="18"/>
                <w:szCs w:val="18"/>
                <w:lang w:eastAsia="nl-NL"/>
              </w:rPr>
            </w:pPr>
            <w:r>
              <w:rPr>
                <w:rFonts w:eastAsia="Times New Roman" w:cs="Arial"/>
                <w:b/>
                <w:bCs/>
                <w:color w:val="000000"/>
                <w:sz w:val="18"/>
                <w:szCs w:val="18"/>
                <w:lang w:eastAsia="nl-NL"/>
              </w:rPr>
              <w:t>42</w:t>
            </w:r>
            <w:r w:rsidR="00BD79A7" w:rsidRPr="00BD79A7">
              <w:rPr>
                <w:rFonts w:eastAsia="Times New Roman" w:cs="Arial"/>
                <w:b/>
                <w:bCs/>
                <w:color w:val="000000"/>
                <w:sz w:val="18"/>
                <w:szCs w:val="18"/>
                <w:lang w:eastAsia="nl-NL"/>
              </w:rPr>
              <w:t>.590</w:t>
            </w:r>
          </w:p>
        </w:tc>
        <w:tc>
          <w:tcPr>
            <w:tcW w:w="1340" w:type="dxa"/>
            <w:tcBorders>
              <w:top w:val="nil"/>
              <w:left w:val="nil"/>
              <w:bottom w:val="nil"/>
              <w:right w:val="nil"/>
            </w:tcBorders>
            <w:shd w:val="clear" w:color="B8CCE4" w:fill="B8CCE4"/>
            <w:noWrap/>
            <w:vAlign w:val="bottom"/>
            <w:hideMark/>
          </w:tcPr>
          <w:p w:rsidR="00BD79A7" w:rsidRPr="00BD79A7" w:rsidRDefault="00C00327" w:rsidP="00BD79A7">
            <w:pPr>
              <w:jc w:val="right"/>
              <w:rPr>
                <w:rFonts w:eastAsia="Times New Roman" w:cs="Arial"/>
                <w:b/>
                <w:bCs/>
                <w:color w:val="000000"/>
                <w:sz w:val="18"/>
                <w:szCs w:val="18"/>
                <w:lang w:eastAsia="nl-NL"/>
              </w:rPr>
            </w:pPr>
            <w:r>
              <w:rPr>
                <w:rFonts w:eastAsia="Times New Roman" w:cs="Arial"/>
                <w:b/>
                <w:bCs/>
                <w:color w:val="000000"/>
                <w:sz w:val="18"/>
                <w:szCs w:val="18"/>
                <w:lang w:eastAsia="nl-NL"/>
              </w:rPr>
              <w:t>0</w:t>
            </w:r>
          </w:p>
        </w:tc>
        <w:tc>
          <w:tcPr>
            <w:tcW w:w="1340" w:type="dxa"/>
            <w:tcBorders>
              <w:top w:val="nil"/>
              <w:left w:val="nil"/>
              <w:bottom w:val="nil"/>
              <w:right w:val="nil"/>
            </w:tcBorders>
            <w:shd w:val="clear" w:color="B8CCE4" w:fill="B8CCE4"/>
            <w:noWrap/>
            <w:vAlign w:val="bottom"/>
            <w:hideMark/>
          </w:tcPr>
          <w:p w:rsidR="00BD79A7" w:rsidRPr="00BD79A7" w:rsidRDefault="00BD79A7" w:rsidP="00BD79A7">
            <w:pPr>
              <w:jc w:val="right"/>
              <w:rPr>
                <w:rFonts w:eastAsia="Times New Roman" w:cs="Arial"/>
                <w:b/>
                <w:bCs/>
                <w:color w:val="000000"/>
                <w:sz w:val="18"/>
                <w:szCs w:val="18"/>
                <w:lang w:eastAsia="nl-NL"/>
              </w:rPr>
            </w:pPr>
            <w:r w:rsidRPr="00BD79A7">
              <w:rPr>
                <w:rFonts w:eastAsia="Times New Roman" w:cs="Arial"/>
                <w:b/>
                <w:bCs/>
                <w:color w:val="000000"/>
                <w:sz w:val="18"/>
                <w:szCs w:val="18"/>
                <w:lang w:eastAsia="nl-NL"/>
              </w:rPr>
              <w:t>42.590</w:t>
            </w: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2237"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63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r>
      <w:tr w:rsidR="00BD79A7" w:rsidRPr="00BD79A7" w:rsidTr="00BD79A7">
        <w:trPr>
          <w:trHeight w:val="255"/>
        </w:trPr>
        <w:tc>
          <w:tcPr>
            <w:tcW w:w="9725" w:type="dxa"/>
            <w:gridSpan w:val="4"/>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r w:rsidRPr="00BD79A7">
              <w:rPr>
                <w:rFonts w:eastAsia="Times New Roman" w:cs="Arial"/>
                <w:b/>
                <w:bCs/>
                <w:color w:val="000000"/>
                <w:sz w:val="20"/>
                <w:szCs w:val="20"/>
                <w:lang w:eastAsia="nl-NL"/>
              </w:rPr>
              <w:t>3. Ru</w:t>
            </w:r>
            <w:r>
              <w:rPr>
                <w:rFonts w:eastAsia="Times New Roman" w:cs="Arial"/>
                <w:b/>
                <w:bCs/>
                <w:color w:val="000000"/>
                <w:sz w:val="20"/>
                <w:szCs w:val="20"/>
                <w:lang w:eastAsia="nl-NL"/>
              </w:rPr>
              <w:t>imtelijke &amp; economische ontwikkelingen</w:t>
            </w:r>
          </w:p>
        </w:tc>
        <w:tc>
          <w:tcPr>
            <w:tcW w:w="128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791" w:type="dxa"/>
            <w:gridSpan w:val="2"/>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u w:val="single"/>
                <w:lang w:eastAsia="nl-NL"/>
              </w:rPr>
            </w:pPr>
            <w:r w:rsidRPr="00BD79A7">
              <w:rPr>
                <w:rFonts w:eastAsia="Times New Roman" w:cs="Arial"/>
                <w:b/>
                <w:bCs/>
                <w:color w:val="000000"/>
                <w:sz w:val="18"/>
                <w:szCs w:val="18"/>
                <w:u w:val="single"/>
                <w:lang w:eastAsia="nl-NL"/>
              </w:rPr>
              <w:t>Lasten</w:t>
            </w:r>
          </w:p>
        </w:tc>
        <w:tc>
          <w:tcPr>
            <w:tcW w:w="63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9171" w:type="dxa"/>
            <w:gridSpan w:val="3"/>
            <w:tcBorders>
              <w:top w:val="nil"/>
              <w:left w:val="nil"/>
              <w:bottom w:val="nil"/>
              <w:right w:val="nil"/>
            </w:tcBorders>
            <w:shd w:val="clear" w:color="auto" w:fill="auto"/>
            <w:noWrap/>
            <w:vAlign w:val="bottom"/>
            <w:hideMark/>
          </w:tcPr>
          <w:p w:rsidR="00BD79A7" w:rsidRPr="00BD79A7" w:rsidRDefault="00BD79A7" w:rsidP="00BD79A7">
            <w:pPr>
              <w:ind w:firstLineChars="100" w:firstLine="181"/>
              <w:rPr>
                <w:rFonts w:eastAsia="Times New Roman" w:cs="Arial"/>
                <w:b/>
                <w:bCs/>
                <w:color w:val="000000"/>
                <w:sz w:val="18"/>
                <w:szCs w:val="18"/>
                <w:lang w:eastAsia="nl-NL"/>
              </w:rPr>
            </w:pPr>
            <w:r w:rsidRPr="00BD79A7">
              <w:rPr>
                <w:rFonts w:eastAsia="Times New Roman" w:cs="Arial"/>
                <w:b/>
                <w:bCs/>
                <w:color w:val="000000"/>
                <w:sz w:val="18"/>
                <w:szCs w:val="18"/>
                <w:lang w:eastAsia="nl-NL"/>
              </w:rPr>
              <w:t>Groen leefomgeving</w:t>
            </w: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vAlign w:val="center"/>
            <w:hideMark/>
          </w:tcPr>
          <w:p w:rsidR="00BD79A7" w:rsidRPr="00BD79A7" w:rsidRDefault="00BD79A7" w:rsidP="00BD79A7">
            <w:pPr>
              <w:rPr>
                <w:rFonts w:eastAsia="Times New Roman" w:cs="Arial"/>
                <w:color w:val="000000"/>
                <w:sz w:val="18"/>
                <w:szCs w:val="18"/>
                <w:lang w:eastAsia="nl-NL"/>
              </w:rPr>
            </w:pPr>
            <w:r w:rsidRPr="00BD79A7">
              <w:rPr>
                <w:rFonts w:eastAsia="Times New Roman" w:cs="Arial"/>
                <w:color w:val="000000"/>
                <w:sz w:val="18"/>
                <w:szCs w:val="18"/>
                <w:lang w:eastAsia="nl-NL"/>
              </w:rPr>
              <w:t>63010/34300</w:t>
            </w:r>
          </w:p>
        </w:tc>
        <w:tc>
          <w:tcPr>
            <w:tcW w:w="6380" w:type="dxa"/>
            <w:tcBorders>
              <w:top w:val="nil"/>
              <w:left w:val="nil"/>
              <w:bottom w:val="nil"/>
              <w:right w:val="nil"/>
            </w:tcBorders>
            <w:shd w:val="clear" w:color="auto" w:fill="auto"/>
            <w:vAlign w:val="bottom"/>
            <w:hideMark/>
          </w:tcPr>
          <w:p w:rsidR="00BD79A7" w:rsidRPr="00BD79A7" w:rsidRDefault="00BD79A7" w:rsidP="00EA0104">
            <w:pPr>
              <w:rPr>
                <w:rFonts w:eastAsia="Times New Roman" w:cs="Arial"/>
                <w:bCs/>
                <w:color w:val="000000"/>
                <w:sz w:val="18"/>
                <w:szCs w:val="18"/>
                <w:lang w:eastAsia="nl-NL"/>
              </w:rPr>
            </w:pPr>
            <w:r w:rsidRPr="00BD79A7">
              <w:rPr>
                <w:rFonts w:eastAsia="Times New Roman" w:cs="Arial"/>
                <w:bCs/>
                <w:color w:val="000000"/>
                <w:sz w:val="18"/>
                <w:szCs w:val="18"/>
                <w:lang w:eastAsia="nl-NL"/>
              </w:rPr>
              <w:t xml:space="preserve">Bijdrage project </w:t>
            </w:r>
            <w:proofErr w:type="spellStart"/>
            <w:r w:rsidR="00EA0104">
              <w:rPr>
                <w:rFonts w:eastAsia="Times New Roman" w:cs="Arial"/>
                <w:bCs/>
                <w:color w:val="000000"/>
                <w:sz w:val="18"/>
                <w:szCs w:val="18"/>
                <w:lang w:eastAsia="nl-NL"/>
              </w:rPr>
              <w:t>Skjin</w:t>
            </w:r>
            <w:proofErr w:type="spellEnd"/>
            <w:r w:rsidR="00EA0104">
              <w:rPr>
                <w:rFonts w:eastAsia="Times New Roman" w:cs="Arial"/>
                <w:bCs/>
                <w:color w:val="000000"/>
                <w:sz w:val="18"/>
                <w:szCs w:val="18"/>
                <w:lang w:eastAsia="nl-NL"/>
              </w:rPr>
              <w:t xml:space="preserve"> Wetter</w:t>
            </w:r>
            <w:r w:rsidRPr="00BD79A7">
              <w:rPr>
                <w:rFonts w:eastAsia="Times New Roman" w:cs="Arial"/>
                <w:bCs/>
                <w:color w:val="000000"/>
                <w:sz w:val="18"/>
                <w:szCs w:val="18"/>
                <w:lang w:eastAsia="nl-NL"/>
              </w:rPr>
              <w:t xml:space="preserve"> ten laste van </w:t>
            </w:r>
            <w:r w:rsidR="00351737">
              <w:rPr>
                <w:rFonts w:eastAsia="Times New Roman" w:cs="Arial"/>
                <w:bCs/>
                <w:color w:val="000000"/>
                <w:sz w:val="18"/>
                <w:szCs w:val="18"/>
                <w:lang w:eastAsia="nl-NL"/>
              </w:rPr>
              <w:t xml:space="preserve">budget </w:t>
            </w:r>
            <w:r w:rsidRPr="00BD79A7">
              <w:rPr>
                <w:rFonts w:eastAsia="Times New Roman" w:cs="Arial"/>
                <w:bCs/>
                <w:color w:val="000000"/>
                <w:sz w:val="18"/>
                <w:szCs w:val="18"/>
                <w:lang w:eastAsia="nl-NL"/>
              </w:rPr>
              <w:t>onvoorzien</w:t>
            </w:r>
            <w:r w:rsidR="00351737">
              <w:rPr>
                <w:rFonts w:eastAsia="Times New Roman" w:cs="Arial"/>
                <w:bCs/>
                <w:color w:val="000000"/>
                <w:sz w:val="18"/>
                <w:szCs w:val="18"/>
                <w:lang w:eastAsia="nl-NL"/>
              </w:rPr>
              <w:t xml:space="preserve"> van het college.</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-1.500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-1.500</w:t>
            </w: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9171" w:type="dxa"/>
            <w:gridSpan w:val="3"/>
            <w:tcBorders>
              <w:top w:val="nil"/>
              <w:left w:val="nil"/>
              <w:bottom w:val="nil"/>
              <w:right w:val="nil"/>
            </w:tcBorders>
            <w:shd w:val="clear" w:color="auto" w:fill="auto"/>
            <w:noWrap/>
            <w:vAlign w:val="bottom"/>
            <w:hideMark/>
          </w:tcPr>
          <w:p w:rsidR="00BD79A7" w:rsidRPr="00BD79A7" w:rsidRDefault="00BD79A7" w:rsidP="00BD79A7">
            <w:pPr>
              <w:ind w:firstLineChars="100" w:firstLine="181"/>
              <w:rPr>
                <w:rFonts w:eastAsia="Times New Roman" w:cs="Arial"/>
                <w:b/>
                <w:bCs/>
                <w:color w:val="000000"/>
                <w:sz w:val="18"/>
                <w:szCs w:val="18"/>
                <w:lang w:eastAsia="nl-NL"/>
              </w:rPr>
            </w:pPr>
            <w:r w:rsidRPr="00BD79A7">
              <w:rPr>
                <w:rFonts w:eastAsia="Times New Roman" w:cs="Arial"/>
                <w:b/>
                <w:bCs/>
                <w:color w:val="000000"/>
                <w:sz w:val="18"/>
                <w:szCs w:val="18"/>
                <w:lang w:eastAsia="nl-NL"/>
              </w:rPr>
              <w:t>Recreatie en toerisme</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r>
      <w:tr w:rsidR="00BD79A7" w:rsidRPr="00BD79A7" w:rsidTr="00BD79A7">
        <w:trPr>
          <w:trHeight w:val="480"/>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vAlign w:val="center"/>
            <w:hideMark/>
          </w:tcPr>
          <w:p w:rsidR="00BD79A7" w:rsidRPr="00BD79A7" w:rsidRDefault="00BD79A7" w:rsidP="00BD79A7">
            <w:pPr>
              <w:rPr>
                <w:rFonts w:eastAsia="Times New Roman" w:cs="Arial"/>
                <w:color w:val="000000"/>
                <w:sz w:val="18"/>
                <w:szCs w:val="18"/>
                <w:lang w:eastAsia="nl-NL"/>
              </w:rPr>
            </w:pPr>
            <w:r w:rsidRPr="00BD79A7">
              <w:rPr>
                <w:rFonts w:eastAsia="Times New Roman" w:cs="Arial"/>
                <w:color w:val="000000"/>
                <w:sz w:val="18"/>
                <w:szCs w:val="18"/>
                <w:lang w:eastAsia="nl-NL"/>
              </w:rPr>
              <w:t>63023/33300</w:t>
            </w:r>
          </w:p>
        </w:tc>
        <w:tc>
          <w:tcPr>
            <w:tcW w:w="6380" w:type="dxa"/>
            <w:tcBorders>
              <w:top w:val="nil"/>
              <w:left w:val="nil"/>
              <w:bottom w:val="nil"/>
              <w:right w:val="nil"/>
            </w:tcBorders>
            <w:shd w:val="clear" w:color="auto" w:fill="auto"/>
            <w:vAlign w:val="bottom"/>
            <w:hideMark/>
          </w:tcPr>
          <w:p w:rsidR="00BD79A7" w:rsidRPr="00BD79A7" w:rsidRDefault="00BD79A7" w:rsidP="00BD79A7">
            <w:pPr>
              <w:rPr>
                <w:rFonts w:eastAsia="Times New Roman" w:cs="Arial"/>
                <w:bCs/>
                <w:color w:val="000000"/>
                <w:sz w:val="18"/>
                <w:szCs w:val="18"/>
                <w:lang w:eastAsia="nl-NL"/>
              </w:rPr>
            </w:pPr>
            <w:r w:rsidRPr="00BD79A7">
              <w:rPr>
                <w:rFonts w:eastAsia="Times New Roman" w:cs="Arial"/>
                <w:bCs/>
                <w:color w:val="000000"/>
                <w:sz w:val="18"/>
                <w:szCs w:val="18"/>
                <w:lang w:eastAsia="nl-NL"/>
              </w:rPr>
              <w:t>Zie nog te bestemmen posten: budget Masterplan Appelscha 2018 over naar functionele post.</w:t>
            </w:r>
            <w:r w:rsidR="00F82F4E">
              <w:rPr>
                <w:rFonts w:eastAsia="Times New Roman" w:cs="Arial"/>
                <w:bCs/>
                <w:color w:val="000000"/>
                <w:sz w:val="18"/>
                <w:szCs w:val="18"/>
                <w:lang w:eastAsia="nl-NL"/>
              </w:rPr>
              <w:t xml:space="preserve"> Vanuit de besteding eenmalige begrotingsruimte 2017-2021. </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-250.000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-250.000</w:t>
            </w:r>
          </w:p>
        </w:tc>
      </w:tr>
      <w:tr w:rsidR="00BD79A7" w:rsidRPr="00BD79A7" w:rsidTr="00BD79A7">
        <w:trPr>
          <w:trHeight w:val="255"/>
        </w:trPr>
        <w:tc>
          <w:tcPr>
            <w:tcW w:w="9725" w:type="dxa"/>
            <w:gridSpan w:val="4"/>
            <w:tcBorders>
              <w:top w:val="nil"/>
              <w:left w:val="nil"/>
              <w:bottom w:val="nil"/>
              <w:right w:val="nil"/>
            </w:tcBorders>
            <w:shd w:val="clear" w:color="B8CCE4" w:fill="B8CCE4"/>
            <w:noWrap/>
            <w:vAlign w:val="bottom"/>
            <w:hideMark/>
          </w:tcPr>
          <w:p w:rsidR="00BD79A7" w:rsidRPr="00BD79A7" w:rsidRDefault="00BD79A7" w:rsidP="00BD79A7">
            <w:pPr>
              <w:rPr>
                <w:rFonts w:eastAsia="Times New Roman" w:cs="Arial"/>
                <w:b/>
                <w:bCs/>
                <w:color w:val="000000"/>
                <w:sz w:val="18"/>
                <w:szCs w:val="18"/>
                <w:lang w:eastAsia="nl-NL"/>
              </w:rPr>
            </w:pPr>
            <w:r w:rsidRPr="00BD79A7">
              <w:rPr>
                <w:rFonts w:eastAsia="Times New Roman" w:cs="Arial"/>
                <w:b/>
                <w:bCs/>
                <w:color w:val="000000"/>
                <w:sz w:val="18"/>
                <w:szCs w:val="18"/>
                <w:lang w:eastAsia="nl-NL"/>
              </w:rPr>
              <w:t>Totaal 3. Ruimtelijke &amp; economische ontwikkelingen</w:t>
            </w:r>
          </w:p>
        </w:tc>
        <w:tc>
          <w:tcPr>
            <w:tcW w:w="1280" w:type="dxa"/>
            <w:tcBorders>
              <w:top w:val="nil"/>
              <w:left w:val="nil"/>
              <w:bottom w:val="nil"/>
              <w:right w:val="nil"/>
            </w:tcBorders>
            <w:shd w:val="clear" w:color="B8CCE4" w:fill="B8CCE4"/>
            <w:noWrap/>
            <w:vAlign w:val="bottom"/>
            <w:hideMark/>
          </w:tcPr>
          <w:p w:rsidR="00BD79A7" w:rsidRPr="00BD79A7" w:rsidRDefault="00BD79A7" w:rsidP="00BD79A7">
            <w:pPr>
              <w:jc w:val="right"/>
              <w:rPr>
                <w:rFonts w:eastAsia="Times New Roman" w:cs="Arial"/>
                <w:b/>
                <w:bCs/>
                <w:color w:val="000000"/>
                <w:sz w:val="18"/>
                <w:szCs w:val="18"/>
                <w:lang w:eastAsia="nl-NL"/>
              </w:rPr>
            </w:pPr>
            <w:r w:rsidRPr="00BD79A7">
              <w:rPr>
                <w:rFonts w:eastAsia="Times New Roman" w:cs="Arial"/>
                <w:b/>
                <w:bCs/>
                <w:color w:val="000000"/>
                <w:sz w:val="18"/>
                <w:szCs w:val="18"/>
                <w:lang w:eastAsia="nl-NL"/>
              </w:rPr>
              <w:t>-251.500</w:t>
            </w:r>
          </w:p>
        </w:tc>
        <w:tc>
          <w:tcPr>
            <w:tcW w:w="1340" w:type="dxa"/>
            <w:tcBorders>
              <w:top w:val="nil"/>
              <w:left w:val="nil"/>
              <w:bottom w:val="nil"/>
              <w:right w:val="nil"/>
            </w:tcBorders>
            <w:shd w:val="clear" w:color="B8CCE4" w:fill="B8CCE4"/>
            <w:noWrap/>
            <w:vAlign w:val="bottom"/>
            <w:hideMark/>
          </w:tcPr>
          <w:p w:rsidR="00BD79A7" w:rsidRPr="00BD79A7" w:rsidRDefault="00BD79A7" w:rsidP="00BD79A7">
            <w:pPr>
              <w:jc w:val="right"/>
              <w:rPr>
                <w:rFonts w:eastAsia="Times New Roman" w:cs="Arial"/>
                <w:b/>
                <w:bCs/>
                <w:color w:val="000000"/>
                <w:sz w:val="18"/>
                <w:szCs w:val="18"/>
                <w:lang w:eastAsia="nl-NL"/>
              </w:rPr>
            </w:pPr>
            <w:r w:rsidRPr="00BD79A7">
              <w:rPr>
                <w:rFonts w:eastAsia="Times New Roman" w:cs="Arial"/>
                <w:b/>
                <w:bCs/>
                <w:color w:val="000000"/>
                <w:sz w:val="18"/>
                <w:szCs w:val="18"/>
                <w:lang w:eastAsia="nl-NL"/>
              </w:rPr>
              <w:t>0</w:t>
            </w:r>
          </w:p>
        </w:tc>
        <w:tc>
          <w:tcPr>
            <w:tcW w:w="1340" w:type="dxa"/>
            <w:tcBorders>
              <w:top w:val="nil"/>
              <w:left w:val="nil"/>
              <w:bottom w:val="nil"/>
              <w:right w:val="nil"/>
            </w:tcBorders>
            <w:shd w:val="clear" w:color="B8CCE4" w:fill="B8CCE4"/>
            <w:noWrap/>
            <w:vAlign w:val="bottom"/>
            <w:hideMark/>
          </w:tcPr>
          <w:p w:rsidR="00BD79A7" w:rsidRPr="00BD79A7" w:rsidRDefault="00BD79A7" w:rsidP="00BD79A7">
            <w:pPr>
              <w:jc w:val="right"/>
              <w:rPr>
                <w:rFonts w:eastAsia="Times New Roman" w:cs="Arial"/>
                <w:b/>
                <w:bCs/>
                <w:color w:val="000000"/>
                <w:sz w:val="18"/>
                <w:szCs w:val="18"/>
                <w:lang w:eastAsia="nl-NL"/>
              </w:rPr>
            </w:pPr>
            <w:r w:rsidRPr="00BD79A7">
              <w:rPr>
                <w:rFonts w:eastAsia="Times New Roman" w:cs="Arial"/>
                <w:b/>
                <w:bCs/>
                <w:color w:val="000000"/>
                <w:sz w:val="18"/>
                <w:szCs w:val="18"/>
                <w:lang w:eastAsia="nl-NL"/>
              </w:rPr>
              <w:t>-251.500</w:t>
            </w: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Default="00BD79A7" w:rsidP="00BD79A7">
            <w:pPr>
              <w:rPr>
                <w:rFonts w:eastAsia="Times New Roman" w:cs="Arial"/>
                <w:color w:val="000000"/>
                <w:sz w:val="20"/>
                <w:szCs w:val="20"/>
                <w:lang w:eastAsia="nl-NL"/>
              </w:rPr>
            </w:pPr>
          </w:p>
          <w:p w:rsidR="000A7313" w:rsidRPr="00BD79A7" w:rsidRDefault="000A7313"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2237"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63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r>
      <w:tr w:rsidR="00BD79A7" w:rsidRPr="00BD79A7" w:rsidTr="00BD79A7">
        <w:trPr>
          <w:trHeight w:val="255"/>
        </w:trPr>
        <w:tc>
          <w:tcPr>
            <w:tcW w:w="9725" w:type="dxa"/>
            <w:gridSpan w:val="4"/>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r w:rsidRPr="00BD79A7">
              <w:rPr>
                <w:rFonts w:eastAsia="Times New Roman" w:cs="Arial"/>
                <w:b/>
                <w:bCs/>
                <w:color w:val="000000"/>
                <w:sz w:val="20"/>
                <w:szCs w:val="20"/>
                <w:lang w:eastAsia="nl-NL"/>
              </w:rPr>
              <w:t>6. Bestuur &amp; Dienstverlening</w:t>
            </w:r>
          </w:p>
        </w:tc>
        <w:tc>
          <w:tcPr>
            <w:tcW w:w="128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c>
          <w:tcPr>
            <w:tcW w:w="1340" w:type="dxa"/>
            <w:tcBorders>
              <w:top w:val="nil"/>
              <w:left w:val="nil"/>
              <w:bottom w:val="nil"/>
              <w:right w:val="nil"/>
            </w:tcBorders>
            <w:shd w:val="clear" w:color="DCE6F1" w:fill="DCE6F1"/>
            <w:noWrap/>
            <w:vAlign w:val="bottom"/>
            <w:hideMark/>
          </w:tcPr>
          <w:p w:rsidR="00BD79A7" w:rsidRPr="00BD79A7" w:rsidRDefault="00BD79A7" w:rsidP="00BD79A7">
            <w:pPr>
              <w:rPr>
                <w:rFonts w:eastAsia="Times New Roman" w:cs="Arial"/>
                <w:b/>
                <w:bCs/>
                <w:color w:val="000000"/>
                <w:sz w:val="20"/>
                <w:szCs w:val="20"/>
                <w:lang w:eastAsia="nl-NL"/>
              </w:rPr>
            </w:pP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2791" w:type="dxa"/>
            <w:gridSpan w:val="2"/>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u w:val="single"/>
                <w:lang w:eastAsia="nl-NL"/>
              </w:rPr>
            </w:pPr>
            <w:r w:rsidRPr="00BD79A7">
              <w:rPr>
                <w:rFonts w:eastAsia="Times New Roman" w:cs="Arial"/>
                <w:b/>
                <w:bCs/>
                <w:color w:val="000000"/>
                <w:sz w:val="18"/>
                <w:szCs w:val="18"/>
                <w:u w:val="single"/>
                <w:lang w:eastAsia="nl-NL"/>
              </w:rPr>
              <w:t>Lasten</w:t>
            </w:r>
          </w:p>
        </w:tc>
        <w:tc>
          <w:tcPr>
            <w:tcW w:w="63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b/>
                <w:bCs/>
                <w:color w:val="000000"/>
                <w:sz w:val="18"/>
                <w:szCs w:val="18"/>
                <w:lang w:eastAsia="nl-NL"/>
              </w:rPr>
            </w:pP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9171" w:type="dxa"/>
            <w:gridSpan w:val="3"/>
            <w:tcBorders>
              <w:top w:val="nil"/>
              <w:left w:val="nil"/>
              <w:bottom w:val="nil"/>
              <w:right w:val="nil"/>
            </w:tcBorders>
            <w:shd w:val="clear" w:color="auto" w:fill="auto"/>
            <w:noWrap/>
            <w:vAlign w:val="bottom"/>
            <w:hideMark/>
          </w:tcPr>
          <w:p w:rsidR="00BD79A7" w:rsidRPr="00BD79A7" w:rsidRDefault="00BD79A7" w:rsidP="00BD79A7">
            <w:pPr>
              <w:ind w:firstLineChars="100" w:firstLine="181"/>
              <w:rPr>
                <w:rFonts w:eastAsia="Times New Roman" w:cs="Arial"/>
                <w:b/>
                <w:bCs/>
                <w:color w:val="000000"/>
                <w:sz w:val="18"/>
                <w:szCs w:val="18"/>
                <w:lang w:eastAsia="nl-NL"/>
              </w:rPr>
            </w:pPr>
            <w:r w:rsidRPr="00BD79A7">
              <w:rPr>
                <w:rFonts w:eastAsia="Times New Roman" w:cs="Arial"/>
                <w:b/>
                <w:bCs/>
                <w:color w:val="000000"/>
                <w:sz w:val="18"/>
                <w:szCs w:val="18"/>
                <w:lang w:eastAsia="nl-NL"/>
              </w:rPr>
              <w:t>Algemene inkomsten en uitgaven</w:t>
            </w: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vAlign w:val="center"/>
            <w:hideMark/>
          </w:tcPr>
          <w:p w:rsidR="00BD79A7" w:rsidRPr="00BD79A7" w:rsidRDefault="00BD79A7" w:rsidP="00BD79A7">
            <w:pPr>
              <w:rPr>
                <w:rFonts w:eastAsia="Times New Roman" w:cs="Arial"/>
                <w:color w:val="000000"/>
                <w:sz w:val="18"/>
                <w:szCs w:val="18"/>
                <w:lang w:eastAsia="nl-NL"/>
              </w:rPr>
            </w:pPr>
            <w:r w:rsidRPr="00BD79A7">
              <w:rPr>
                <w:rFonts w:eastAsia="Times New Roman" w:cs="Arial"/>
                <w:color w:val="000000"/>
                <w:sz w:val="18"/>
                <w:szCs w:val="18"/>
                <w:lang w:eastAsia="nl-NL"/>
              </w:rPr>
              <w:t>67100/00000</w:t>
            </w:r>
          </w:p>
        </w:tc>
        <w:tc>
          <w:tcPr>
            <w:tcW w:w="6380" w:type="dxa"/>
            <w:tcBorders>
              <w:top w:val="nil"/>
              <w:left w:val="nil"/>
              <w:bottom w:val="nil"/>
              <w:right w:val="nil"/>
            </w:tcBorders>
            <w:shd w:val="clear" w:color="auto" w:fill="auto"/>
            <w:vAlign w:val="bottom"/>
            <w:hideMark/>
          </w:tcPr>
          <w:p w:rsidR="00BD79A7" w:rsidRPr="00BD79A7" w:rsidRDefault="00351737" w:rsidP="00467716">
            <w:pPr>
              <w:rPr>
                <w:rFonts w:eastAsia="Times New Roman" w:cs="Arial"/>
                <w:bCs/>
                <w:color w:val="000000"/>
                <w:sz w:val="18"/>
                <w:szCs w:val="18"/>
                <w:lang w:eastAsia="nl-NL"/>
              </w:rPr>
            </w:pPr>
            <w:r w:rsidRPr="00BD79A7">
              <w:rPr>
                <w:rFonts w:eastAsia="Times New Roman" w:cs="Arial"/>
                <w:bCs/>
                <w:color w:val="000000"/>
                <w:sz w:val="18"/>
                <w:szCs w:val="18"/>
                <w:lang w:eastAsia="nl-NL"/>
              </w:rPr>
              <w:t xml:space="preserve">Bijdrage project </w:t>
            </w:r>
            <w:proofErr w:type="spellStart"/>
            <w:r>
              <w:rPr>
                <w:rFonts w:eastAsia="Times New Roman" w:cs="Arial"/>
                <w:bCs/>
                <w:color w:val="000000"/>
                <w:sz w:val="18"/>
                <w:szCs w:val="18"/>
                <w:lang w:eastAsia="nl-NL"/>
              </w:rPr>
              <w:t>Skjin</w:t>
            </w:r>
            <w:proofErr w:type="spellEnd"/>
            <w:r>
              <w:rPr>
                <w:rFonts w:eastAsia="Times New Roman" w:cs="Arial"/>
                <w:bCs/>
                <w:color w:val="000000"/>
                <w:sz w:val="18"/>
                <w:szCs w:val="18"/>
                <w:lang w:eastAsia="nl-NL"/>
              </w:rPr>
              <w:t xml:space="preserve"> Wetter</w:t>
            </w:r>
            <w:r w:rsidRPr="00BD79A7">
              <w:rPr>
                <w:rFonts w:eastAsia="Times New Roman" w:cs="Arial"/>
                <w:bCs/>
                <w:color w:val="000000"/>
                <w:sz w:val="18"/>
                <w:szCs w:val="18"/>
                <w:lang w:eastAsia="nl-NL"/>
              </w:rPr>
              <w:t xml:space="preserve"> ten laste van </w:t>
            </w:r>
            <w:r>
              <w:rPr>
                <w:rFonts w:eastAsia="Times New Roman" w:cs="Arial"/>
                <w:bCs/>
                <w:color w:val="000000"/>
                <w:sz w:val="18"/>
                <w:szCs w:val="18"/>
                <w:lang w:eastAsia="nl-NL"/>
              </w:rPr>
              <w:t xml:space="preserve">budget </w:t>
            </w:r>
            <w:r w:rsidRPr="00BD79A7">
              <w:rPr>
                <w:rFonts w:eastAsia="Times New Roman" w:cs="Arial"/>
                <w:bCs/>
                <w:color w:val="000000"/>
                <w:sz w:val="18"/>
                <w:szCs w:val="18"/>
                <w:lang w:eastAsia="nl-NL"/>
              </w:rPr>
              <w:t>onvoorzien</w:t>
            </w:r>
            <w:r>
              <w:rPr>
                <w:rFonts w:eastAsia="Times New Roman" w:cs="Arial"/>
                <w:bCs/>
                <w:color w:val="000000"/>
                <w:sz w:val="18"/>
                <w:szCs w:val="18"/>
                <w:lang w:eastAsia="nl-NL"/>
              </w:rPr>
              <w:t xml:space="preserve"> van het college.</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1.500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1.500</w:t>
            </w:r>
          </w:p>
        </w:tc>
      </w:tr>
      <w:tr w:rsidR="00BD79A7" w:rsidRPr="00BD79A7" w:rsidTr="00BD79A7">
        <w:trPr>
          <w:trHeight w:val="480"/>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vAlign w:val="center"/>
            <w:hideMark/>
          </w:tcPr>
          <w:p w:rsidR="00BD79A7" w:rsidRPr="00BD79A7" w:rsidRDefault="00BD79A7" w:rsidP="00BD79A7">
            <w:pPr>
              <w:rPr>
                <w:rFonts w:eastAsia="Times New Roman" w:cs="Arial"/>
                <w:color w:val="000000"/>
                <w:sz w:val="18"/>
                <w:szCs w:val="18"/>
                <w:lang w:eastAsia="nl-NL"/>
              </w:rPr>
            </w:pPr>
            <w:r w:rsidRPr="00BD79A7">
              <w:rPr>
                <w:rFonts w:eastAsia="Times New Roman" w:cs="Arial"/>
                <w:color w:val="000000"/>
                <w:sz w:val="18"/>
                <w:szCs w:val="18"/>
                <w:lang w:eastAsia="nl-NL"/>
              </w:rPr>
              <w:t>67111/00000</w:t>
            </w:r>
          </w:p>
        </w:tc>
        <w:tc>
          <w:tcPr>
            <w:tcW w:w="6380" w:type="dxa"/>
            <w:tcBorders>
              <w:top w:val="nil"/>
              <w:left w:val="nil"/>
              <w:bottom w:val="nil"/>
              <w:right w:val="nil"/>
            </w:tcBorders>
            <w:shd w:val="clear" w:color="auto" w:fill="auto"/>
            <w:vAlign w:val="bottom"/>
            <w:hideMark/>
          </w:tcPr>
          <w:p w:rsidR="00BD79A7" w:rsidRPr="00BD79A7" w:rsidRDefault="00BD79A7" w:rsidP="00BD79A7">
            <w:pPr>
              <w:rPr>
                <w:rFonts w:eastAsia="Times New Roman" w:cs="Arial"/>
                <w:bCs/>
                <w:color w:val="000000"/>
                <w:sz w:val="18"/>
                <w:szCs w:val="18"/>
                <w:lang w:eastAsia="nl-NL"/>
              </w:rPr>
            </w:pPr>
            <w:r w:rsidRPr="00BD79A7">
              <w:rPr>
                <w:rFonts w:eastAsia="Times New Roman" w:cs="Arial"/>
                <w:bCs/>
                <w:color w:val="000000"/>
                <w:sz w:val="18"/>
                <w:szCs w:val="18"/>
                <w:lang w:eastAsia="nl-NL"/>
              </w:rPr>
              <w:t>Nog te bestemmen posten: budget Masterplan Appelscha 2018 over naar functionele post.</w:t>
            </w:r>
            <w:r w:rsidR="00F82F4E">
              <w:rPr>
                <w:rFonts w:eastAsia="Times New Roman" w:cs="Arial"/>
                <w:bCs/>
                <w:color w:val="000000"/>
                <w:sz w:val="18"/>
                <w:szCs w:val="18"/>
                <w:lang w:eastAsia="nl-NL"/>
              </w:rPr>
              <w:t xml:space="preserve"> Vanuit de besteding eenmalige begrotingsruimte 2017-2021.</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250.000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250.000</w:t>
            </w: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9171" w:type="dxa"/>
            <w:gridSpan w:val="3"/>
            <w:tcBorders>
              <w:top w:val="nil"/>
              <w:left w:val="nil"/>
              <w:bottom w:val="nil"/>
              <w:right w:val="nil"/>
            </w:tcBorders>
            <w:shd w:val="clear" w:color="auto" w:fill="auto"/>
            <w:noWrap/>
            <w:vAlign w:val="bottom"/>
            <w:hideMark/>
          </w:tcPr>
          <w:p w:rsidR="00BD79A7" w:rsidRPr="00BD79A7" w:rsidRDefault="00BD79A7" w:rsidP="00BD79A7">
            <w:pPr>
              <w:ind w:firstLineChars="100" w:firstLine="181"/>
              <w:rPr>
                <w:rFonts w:eastAsia="Times New Roman" w:cs="Arial"/>
                <w:b/>
                <w:bCs/>
                <w:color w:val="000000"/>
                <w:sz w:val="18"/>
                <w:szCs w:val="18"/>
                <w:lang w:eastAsia="nl-NL"/>
              </w:rPr>
            </w:pPr>
            <w:r w:rsidRPr="00BD79A7">
              <w:rPr>
                <w:rFonts w:eastAsia="Times New Roman" w:cs="Arial"/>
                <w:b/>
                <w:bCs/>
                <w:color w:val="000000"/>
                <w:sz w:val="18"/>
                <w:szCs w:val="18"/>
                <w:lang w:eastAsia="nl-NL"/>
              </w:rPr>
              <w:t>OWO kostenplaatsen</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r>
      <w:tr w:rsidR="00BD79A7" w:rsidRPr="00BD79A7" w:rsidTr="00BD79A7">
        <w:trPr>
          <w:trHeight w:val="480"/>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vAlign w:val="center"/>
            <w:hideMark/>
          </w:tcPr>
          <w:p w:rsidR="00BD79A7" w:rsidRPr="00BD79A7" w:rsidRDefault="00BD79A7" w:rsidP="00BD79A7">
            <w:pPr>
              <w:rPr>
                <w:rFonts w:eastAsia="Times New Roman" w:cs="Arial"/>
                <w:color w:val="000000"/>
                <w:sz w:val="18"/>
                <w:szCs w:val="18"/>
                <w:lang w:eastAsia="nl-NL"/>
              </w:rPr>
            </w:pPr>
            <w:r w:rsidRPr="00BD79A7">
              <w:rPr>
                <w:rFonts w:eastAsia="Times New Roman" w:cs="Arial"/>
                <w:color w:val="000000"/>
                <w:sz w:val="18"/>
                <w:szCs w:val="18"/>
                <w:lang w:eastAsia="nl-NL"/>
              </w:rPr>
              <w:t>69354/11000</w:t>
            </w:r>
          </w:p>
        </w:tc>
        <w:tc>
          <w:tcPr>
            <w:tcW w:w="6380" w:type="dxa"/>
            <w:tcBorders>
              <w:top w:val="nil"/>
              <w:left w:val="nil"/>
              <w:bottom w:val="nil"/>
              <w:right w:val="nil"/>
            </w:tcBorders>
            <w:shd w:val="clear" w:color="auto" w:fill="auto"/>
            <w:vAlign w:val="bottom"/>
            <w:hideMark/>
          </w:tcPr>
          <w:p w:rsidR="00BD79A7" w:rsidRPr="00BD79A7" w:rsidRDefault="00BD79A7" w:rsidP="00BD79A7">
            <w:pPr>
              <w:rPr>
                <w:rFonts w:eastAsia="Times New Roman" w:cs="Arial"/>
                <w:bCs/>
                <w:color w:val="000000"/>
                <w:sz w:val="18"/>
                <w:szCs w:val="18"/>
                <w:lang w:eastAsia="nl-NL"/>
              </w:rPr>
            </w:pPr>
            <w:r w:rsidRPr="00BD79A7">
              <w:rPr>
                <w:rFonts w:eastAsia="Times New Roman" w:cs="Arial"/>
                <w:bCs/>
                <w:color w:val="000000"/>
                <w:sz w:val="18"/>
                <w:szCs w:val="18"/>
                <w:lang w:eastAsia="nl-NL"/>
              </w:rPr>
              <w:t>De financiële gevolgen van de vervolgstap doorontwikkeling GBT waren bij de voorjaarsrapportage niet volledig verwerkt.</w:t>
            </w:r>
          </w:p>
        </w:tc>
        <w:tc>
          <w:tcPr>
            <w:tcW w:w="128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-17.590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-17.590</w:t>
            </w:r>
          </w:p>
        </w:tc>
      </w:tr>
      <w:tr w:rsidR="00BD79A7" w:rsidRPr="00BD79A7" w:rsidTr="00DD4494">
        <w:trPr>
          <w:trHeight w:val="292"/>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18"/>
                <w:szCs w:val="18"/>
                <w:lang w:eastAsia="nl-NL"/>
              </w:rPr>
            </w:pPr>
          </w:p>
        </w:tc>
        <w:tc>
          <w:tcPr>
            <w:tcW w:w="2237" w:type="dxa"/>
            <w:tcBorders>
              <w:top w:val="nil"/>
              <w:left w:val="nil"/>
              <w:bottom w:val="nil"/>
              <w:right w:val="nil"/>
            </w:tcBorders>
            <w:shd w:val="clear" w:color="auto" w:fill="auto"/>
            <w:noWrap/>
            <w:vAlign w:val="center"/>
            <w:hideMark/>
          </w:tcPr>
          <w:p w:rsidR="00BD79A7" w:rsidRPr="00BD79A7" w:rsidRDefault="00BD79A7" w:rsidP="00BD79A7">
            <w:pPr>
              <w:rPr>
                <w:rFonts w:eastAsia="Times New Roman" w:cs="Arial"/>
                <w:color w:val="000000"/>
                <w:sz w:val="18"/>
                <w:szCs w:val="18"/>
                <w:lang w:eastAsia="nl-NL"/>
              </w:rPr>
            </w:pPr>
            <w:r w:rsidRPr="00BD79A7">
              <w:rPr>
                <w:rFonts w:eastAsia="Times New Roman" w:cs="Arial"/>
                <w:color w:val="000000"/>
                <w:sz w:val="18"/>
                <w:szCs w:val="18"/>
                <w:lang w:eastAsia="nl-NL"/>
              </w:rPr>
              <w:t>69354/34300</w:t>
            </w:r>
          </w:p>
        </w:tc>
        <w:tc>
          <w:tcPr>
            <w:tcW w:w="6380" w:type="dxa"/>
            <w:tcBorders>
              <w:top w:val="nil"/>
              <w:left w:val="nil"/>
              <w:bottom w:val="nil"/>
              <w:right w:val="nil"/>
            </w:tcBorders>
            <w:shd w:val="clear" w:color="auto" w:fill="auto"/>
            <w:vAlign w:val="bottom"/>
            <w:hideMark/>
          </w:tcPr>
          <w:p w:rsidR="00BD79A7" w:rsidRPr="00BD79A7" w:rsidRDefault="00BD79A7" w:rsidP="00501A84">
            <w:pPr>
              <w:rPr>
                <w:rFonts w:eastAsia="Times New Roman" w:cs="Arial"/>
                <w:bCs/>
                <w:color w:val="000000"/>
                <w:sz w:val="18"/>
                <w:szCs w:val="18"/>
                <w:lang w:eastAsia="nl-NL"/>
              </w:rPr>
            </w:pPr>
            <w:r w:rsidRPr="00BD79A7">
              <w:rPr>
                <w:rFonts w:eastAsia="Times New Roman" w:cs="Arial"/>
                <w:bCs/>
                <w:color w:val="000000"/>
                <w:sz w:val="18"/>
                <w:szCs w:val="18"/>
                <w:lang w:eastAsia="nl-NL"/>
              </w:rPr>
              <w:t xml:space="preserve">Maatwerkbudget: </w:t>
            </w:r>
            <w:r w:rsidR="00DD4494">
              <w:rPr>
                <w:rFonts w:eastAsia="Times New Roman" w:cs="Arial"/>
                <w:bCs/>
                <w:color w:val="000000"/>
                <w:sz w:val="18"/>
                <w:szCs w:val="18"/>
                <w:lang w:eastAsia="nl-NL"/>
              </w:rPr>
              <w:t>Zie bij lasten WMO</w:t>
            </w:r>
          </w:p>
        </w:tc>
        <w:tc>
          <w:tcPr>
            <w:tcW w:w="1280" w:type="dxa"/>
            <w:tcBorders>
              <w:top w:val="nil"/>
              <w:left w:val="nil"/>
              <w:bottom w:val="nil"/>
              <w:right w:val="nil"/>
            </w:tcBorders>
            <w:shd w:val="clear" w:color="auto" w:fill="auto"/>
            <w:noWrap/>
            <w:vAlign w:val="center"/>
            <w:hideMark/>
          </w:tcPr>
          <w:p w:rsidR="00BD79A7" w:rsidRPr="00BD79A7" w:rsidRDefault="00C00327" w:rsidP="00BD79A7">
            <w:pPr>
              <w:jc w:val="right"/>
              <w:rPr>
                <w:rFonts w:eastAsia="Times New Roman" w:cs="Arial"/>
                <w:color w:val="000000"/>
                <w:sz w:val="18"/>
                <w:szCs w:val="18"/>
                <w:lang w:eastAsia="nl-NL"/>
              </w:rPr>
            </w:pPr>
            <w:r>
              <w:rPr>
                <w:rFonts w:eastAsia="Times New Roman" w:cs="Arial"/>
                <w:color w:val="000000"/>
                <w:sz w:val="18"/>
                <w:szCs w:val="18"/>
                <w:lang w:eastAsia="nl-NL"/>
              </w:rPr>
              <w:t>-25.000</w:t>
            </w: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p>
        </w:tc>
        <w:tc>
          <w:tcPr>
            <w:tcW w:w="1340" w:type="dxa"/>
            <w:tcBorders>
              <w:top w:val="nil"/>
              <w:left w:val="nil"/>
              <w:bottom w:val="nil"/>
              <w:right w:val="nil"/>
            </w:tcBorders>
            <w:shd w:val="clear" w:color="auto" w:fill="auto"/>
            <w:noWrap/>
            <w:vAlign w:val="center"/>
            <w:hideMark/>
          </w:tcPr>
          <w:p w:rsidR="00BD79A7" w:rsidRPr="00BD79A7" w:rsidRDefault="00BD79A7" w:rsidP="00BD79A7">
            <w:pPr>
              <w:jc w:val="right"/>
              <w:rPr>
                <w:rFonts w:eastAsia="Times New Roman" w:cs="Arial"/>
                <w:color w:val="000000"/>
                <w:sz w:val="18"/>
                <w:szCs w:val="18"/>
                <w:lang w:eastAsia="nl-NL"/>
              </w:rPr>
            </w:pPr>
            <w:r w:rsidRPr="00BD79A7">
              <w:rPr>
                <w:rFonts w:eastAsia="Times New Roman" w:cs="Arial"/>
                <w:color w:val="000000"/>
                <w:sz w:val="18"/>
                <w:szCs w:val="18"/>
                <w:lang w:eastAsia="nl-NL"/>
              </w:rPr>
              <w:t>-25.000</w:t>
            </w:r>
          </w:p>
        </w:tc>
      </w:tr>
      <w:tr w:rsidR="00BD79A7" w:rsidRPr="00BD79A7" w:rsidTr="00BD79A7">
        <w:trPr>
          <w:trHeight w:val="255"/>
        </w:trPr>
        <w:tc>
          <w:tcPr>
            <w:tcW w:w="9725" w:type="dxa"/>
            <w:gridSpan w:val="4"/>
            <w:tcBorders>
              <w:top w:val="nil"/>
              <w:left w:val="nil"/>
              <w:bottom w:val="nil"/>
              <w:right w:val="nil"/>
            </w:tcBorders>
            <w:shd w:val="clear" w:color="B8CCE4" w:fill="B8CCE4"/>
            <w:noWrap/>
            <w:vAlign w:val="bottom"/>
            <w:hideMark/>
          </w:tcPr>
          <w:p w:rsidR="00BD79A7" w:rsidRPr="00BD79A7" w:rsidRDefault="00BD79A7" w:rsidP="00BD79A7">
            <w:pPr>
              <w:rPr>
                <w:rFonts w:eastAsia="Times New Roman" w:cs="Arial"/>
                <w:b/>
                <w:bCs/>
                <w:color w:val="000000"/>
                <w:sz w:val="18"/>
                <w:szCs w:val="18"/>
                <w:lang w:eastAsia="nl-NL"/>
              </w:rPr>
            </w:pPr>
            <w:r w:rsidRPr="00BD79A7">
              <w:rPr>
                <w:rFonts w:eastAsia="Times New Roman" w:cs="Arial"/>
                <w:b/>
                <w:bCs/>
                <w:color w:val="000000"/>
                <w:sz w:val="18"/>
                <w:szCs w:val="18"/>
                <w:lang w:eastAsia="nl-NL"/>
              </w:rPr>
              <w:t>Totaal 6. Bestuur &amp; Dienstverlening</w:t>
            </w:r>
          </w:p>
        </w:tc>
        <w:tc>
          <w:tcPr>
            <w:tcW w:w="1280" w:type="dxa"/>
            <w:tcBorders>
              <w:top w:val="nil"/>
              <w:left w:val="nil"/>
              <w:bottom w:val="nil"/>
              <w:right w:val="nil"/>
            </w:tcBorders>
            <w:shd w:val="clear" w:color="B8CCE4" w:fill="B8CCE4"/>
            <w:noWrap/>
            <w:vAlign w:val="bottom"/>
            <w:hideMark/>
          </w:tcPr>
          <w:p w:rsidR="00BD79A7" w:rsidRPr="00BD79A7" w:rsidRDefault="00C00327" w:rsidP="00BD79A7">
            <w:pPr>
              <w:jc w:val="right"/>
              <w:rPr>
                <w:rFonts w:eastAsia="Times New Roman" w:cs="Arial"/>
                <w:b/>
                <w:bCs/>
                <w:color w:val="000000"/>
                <w:sz w:val="18"/>
                <w:szCs w:val="18"/>
                <w:lang w:eastAsia="nl-NL"/>
              </w:rPr>
            </w:pPr>
            <w:r>
              <w:rPr>
                <w:rFonts w:eastAsia="Times New Roman" w:cs="Arial"/>
                <w:b/>
                <w:bCs/>
                <w:color w:val="000000"/>
                <w:sz w:val="18"/>
                <w:szCs w:val="18"/>
                <w:lang w:eastAsia="nl-NL"/>
              </w:rPr>
              <w:t>208</w:t>
            </w:r>
            <w:r w:rsidR="00BD79A7" w:rsidRPr="00BD79A7">
              <w:rPr>
                <w:rFonts w:eastAsia="Times New Roman" w:cs="Arial"/>
                <w:b/>
                <w:bCs/>
                <w:color w:val="000000"/>
                <w:sz w:val="18"/>
                <w:szCs w:val="18"/>
                <w:lang w:eastAsia="nl-NL"/>
              </w:rPr>
              <w:t>.910</w:t>
            </w:r>
          </w:p>
        </w:tc>
        <w:tc>
          <w:tcPr>
            <w:tcW w:w="1340" w:type="dxa"/>
            <w:tcBorders>
              <w:top w:val="nil"/>
              <w:left w:val="nil"/>
              <w:bottom w:val="nil"/>
              <w:right w:val="nil"/>
            </w:tcBorders>
            <w:shd w:val="clear" w:color="B8CCE4" w:fill="B8CCE4"/>
            <w:noWrap/>
            <w:vAlign w:val="bottom"/>
            <w:hideMark/>
          </w:tcPr>
          <w:p w:rsidR="00BD79A7" w:rsidRPr="00BD79A7" w:rsidRDefault="00C00327" w:rsidP="00BD79A7">
            <w:pPr>
              <w:jc w:val="right"/>
              <w:rPr>
                <w:rFonts w:eastAsia="Times New Roman" w:cs="Arial"/>
                <w:b/>
                <w:bCs/>
                <w:color w:val="000000"/>
                <w:sz w:val="18"/>
                <w:szCs w:val="18"/>
                <w:lang w:eastAsia="nl-NL"/>
              </w:rPr>
            </w:pPr>
            <w:r>
              <w:rPr>
                <w:rFonts w:eastAsia="Times New Roman" w:cs="Arial"/>
                <w:b/>
                <w:bCs/>
                <w:color w:val="000000"/>
                <w:sz w:val="18"/>
                <w:szCs w:val="18"/>
                <w:lang w:eastAsia="nl-NL"/>
              </w:rPr>
              <w:t>0</w:t>
            </w:r>
          </w:p>
        </w:tc>
        <w:tc>
          <w:tcPr>
            <w:tcW w:w="1340" w:type="dxa"/>
            <w:tcBorders>
              <w:top w:val="nil"/>
              <w:left w:val="nil"/>
              <w:bottom w:val="nil"/>
              <w:right w:val="nil"/>
            </w:tcBorders>
            <w:shd w:val="clear" w:color="B8CCE4" w:fill="B8CCE4"/>
            <w:noWrap/>
            <w:vAlign w:val="bottom"/>
            <w:hideMark/>
          </w:tcPr>
          <w:p w:rsidR="00BD79A7" w:rsidRPr="00BD79A7" w:rsidRDefault="00BD79A7" w:rsidP="00BD79A7">
            <w:pPr>
              <w:jc w:val="right"/>
              <w:rPr>
                <w:rFonts w:eastAsia="Times New Roman" w:cs="Arial"/>
                <w:b/>
                <w:bCs/>
                <w:color w:val="000000"/>
                <w:sz w:val="18"/>
                <w:szCs w:val="18"/>
                <w:lang w:eastAsia="nl-NL"/>
              </w:rPr>
            </w:pPr>
            <w:r w:rsidRPr="00BD79A7">
              <w:rPr>
                <w:rFonts w:eastAsia="Times New Roman" w:cs="Arial"/>
                <w:b/>
                <w:bCs/>
                <w:color w:val="000000"/>
                <w:sz w:val="18"/>
                <w:szCs w:val="18"/>
                <w:lang w:eastAsia="nl-NL"/>
              </w:rPr>
              <w:t>208.910</w:t>
            </w:r>
          </w:p>
        </w:tc>
      </w:tr>
      <w:tr w:rsidR="00BD79A7" w:rsidRPr="00BD79A7" w:rsidTr="00BD79A7">
        <w:trPr>
          <w:trHeight w:val="255"/>
        </w:trPr>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554"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2237"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63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28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c>
          <w:tcPr>
            <w:tcW w:w="1340" w:type="dxa"/>
            <w:tcBorders>
              <w:top w:val="nil"/>
              <w:left w:val="nil"/>
              <w:bottom w:val="nil"/>
              <w:right w:val="nil"/>
            </w:tcBorders>
            <w:shd w:val="clear" w:color="auto" w:fill="auto"/>
            <w:noWrap/>
            <w:vAlign w:val="bottom"/>
            <w:hideMark/>
          </w:tcPr>
          <w:p w:rsidR="00BD79A7" w:rsidRPr="00BD79A7" w:rsidRDefault="00BD79A7" w:rsidP="00BD79A7">
            <w:pPr>
              <w:rPr>
                <w:rFonts w:eastAsia="Times New Roman" w:cs="Arial"/>
                <w:color w:val="000000"/>
                <w:sz w:val="20"/>
                <w:szCs w:val="20"/>
                <w:lang w:eastAsia="nl-NL"/>
              </w:rPr>
            </w:pPr>
          </w:p>
        </w:tc>
      </w:tr>
      <w:tr w:rsidR="00BD79A7" w:rsidRPr="00BD79A7" w:rsidTr="00BD79A7">
        <w:trPr>
          <w:trHeight w:val="255"/>
        </w:trPr>
        <w:tc>
          <w:tcPr>
            <w:tcW w:w="1108" w:type="dxa"/>
            <w:gridSpan w:val="2"/>
            <w:tcBorders>
              <w:top w:val="single" w:sz="4" w:space="0" w:color="366092"/>
              <w:left w:val="nil"/>
              <w:bottom w:val="single" w:sz="8" w:space="0" w:color="366092"/>
              <w:right w:val="nil"/>
            </w:tcBorders>
            <w:shd w:val="clear" w:color="auto" w:fill="auto"/>
            <w:noWrap/>
            <w:vAlign w:val="bottom"/>
            <w:hideMark/>
          </w:tcPr>
          <w:p w:rsidR="00BD79A7" w:rsidRPr="00BD79A7" w:rsidRDefault="00BD79A7" w:rsidP="00BD79A7">
            <w:pPr>
              <w:rPr>
                <w:rFonts w:eastAsia="Times New Roman" w:cs="Arial"/>
                <w:b/>
                <w:bCs/>
                <w:color w:val="000000"/>
                <w:sz w:val="20"/>
                <w:szCs w:val="20"/>
                <w:lang w:eastAsia="nl-NL"/>
              </w:rPr>
            </w:pPr>
            <w:r w:rsidRPr="00BD79A7">
              <w:rPr>
                <w:rFonts w:eastAsia="Times New Roman" w:cs="Arial"/>
                <w:b/>
                <w:bCs/>
                <w:color w:val="000000"/>
                <w:sz w:val="20"/>
                <w:szCs w:val="20"/>
                <w:lang w:eastAsia="nl-NL"/>
              </w:rPr>
              <w:t>Eindtotaal</w:t>
            </w:r>
          </w:p>
        </w:tc>
        <w:tc>
          <w:tcPr>
            <w:tcW w:w="2237" w:type="dxa"/>
            <w:tcBorders>
              <w:top w:val="single" w:sz="4" w:space="0" w:color="366092"/>
              <w:left w:val="nil"/>
              <w:bottom w:val="single" w:sz="8" w:space="0" w:color="366092"/>
              <w:right w:val="nil"/>
            </w:tcBorders>
            <w:shd w:val="clear" w:color="auto" w:fill="auto"/>
            <w:noWrap/>
            <w:vAlign w:val="bottom"/>
            <w:hideMark/>
          </w:tcPr>
          <w:p w:rsidR="00BD79A7" w:rsidRPr="00BD79A7" w:rsidRDefault="00BD79A7" w:rsidP="00BD79A7">
            <w:pPr>
              <w:rPr>
                <w:rFonts w:eastAsia="Times New Roman" w:cs="Arial"/>
                <w:b/>
                <w:bCs/>
                <w:color w:val="000000"/>
                <w:sz w:val="20"/>
                <w:szCs w:val="20"/>
                <w:lang w:eastAsia="nl-NL"/>
              </w:rPr>
            </w:pPr>
          </w:p>
        </w:tc>
        <w:tc>
          <w:tcPr>
            <w:tcW w:w="6380" w:type="dxa"/>
            <w:tcBorders>
              <w:top w:val="single" w:sz="4" w:space="0" w:color="366092"/>
              <w:left w:val="nil"/>
              <w:bottom w:val="single" w:sz="8" w:space="0" w:color="366092"/>
              <w:right w:val="nil"/>
            </w:tcBorders>
            <w:shd w:val="clear" w:color="auto" w:fill="auto"/>
            <w:noWrap/>
            <w:vAlign w:val="bottom"/>
            <w:hideMark/>
          </w:tcPr>
          <w:p w:rsidR="00BD79A7" w:rsidRPr="00BD79A7" w:rsidRDefault="00BD79A7" w:rsidP="00BD79A7">
            <w:pPr>
              <w:rPr>
                <w:rFonts w:eastAsia="Times New Roman" w:cs="Arial"/>
                <w:b/>
                <w:bCs/>
                <w:color w:val="000000"/>
                <w:sz w:val="20"/>
                <w:szCs w:val="20"/>
                <w:lang w:eastAsia="nl-NL"/>
              </w:rPr>
            </w:pPr>
          </w:p>
        </w:tc>
        <w:tc>
          <w:tcPr>
            <w:tcW w:w="1280" w:type="dxa"/>
            <w:tcBorders>
              <w:top w:val="single" w:sz="4" w:space="0" w:color="366092"/>
              <w:left w:val="nil"/>
              <w:bottom w:val="single" w:sz="8" w:space="0" w:color="366092"/>
              <w:right w:val="nil"/>
            </w:tcBorders>
            <w:shd w:val="clear" w:color="auto" w:fill="auto"/>
            <w:noWrap/>
            <w:vAlign w:val="bottom"/>
            <w:hideMark/>
          </w:tcPr>
          <w:p w:rsidR="00BD79A7" w:rsidRPr="00BD79A7" w:rsidRDefault="00BD79A7" w:rsidP="00BD79A7">
            <w:pPr>
              <w:jc w:val="right"/>
              <w:rPr>
                <w:rFonts w:eastAsia="Times New Roman" w:cs="Arial"/>
                <w:b/>
                <w:bCs/>
                <w:color w:val="000000"/>
                <w:sz w:val="20"/>
                <w:szCs w:val="20"/>
                <w:lang w:eastAsia="nl-NL"/>
              </w:rPr>
            </w:pPr>
            <w:r w:rsidRPr="00BD79A7">
              <w:rPr>
                <w:rFonts w:eastAsia="Times New Roman" w:cs="Arial"/>
                <w:b/>
                <w:bCs/>
                <w:color w:val="000000"/>
                <w:sz w:val="20"/>
                <w:szCs w:val="20"/>
                <w:lang w:eastAsia="nl-NL"/>
              </w:rPr>
              <w:t>0</w:t>
            </w:r>
          </w:p>
        </w:tc>
        <w:tc>
          <w:tcPr>
            <w:tcW w:w="1340" w:type="dxa"/>
            <w:tcBorders>
              <w:top w:val="single" w:sz="4" w:space="0" w:color="366092"/>
              <w:left w:val="nil"/>
              <w:bottom w:val="single" w:sz="8" w:space="0" w:color="366092"/>
              <w:right w:val="nil"/>
            </w:tcBorders>
            <w:shd w:val="clear" w:color="auto" w:fill="auto"/>
            <w:noWrap/>
            <w:vAlign w:val="bottom"/>
            <w:hideMark/>
          </w:tcPr>
          <w:p w:rsidR="00BD79A7" w:rsidRPr="00BD79A7" w:rsidRDefault="00BD79A7" w:rsidP="00BD79A7">
            <w:pPr>
              <w:jc w:val="right"/>
              <w:rPr>
                <w:rFonts w:eastAsia="Times New Roman" w:cs="Arial"/>
                <w:b/>
                <w:bCs/>
                <w:color w:val="000000"/>
                <w:sz w:val="20"/>
                <w:szCs w:val="20"/>
                <w:lang w:eastAsia="nl-NL"/>
              </w:rPr>
            </w:pPr>
            <w:r w:rsidRPr="00BD79A7">
              <w:rPr>
                <w:rFonts w:eastAsia="Times New Roman" w:cs="Arial"/>
                <w:b/>
                <w:bCs/>
                <w:color w:val="000000"/>
                <w:sz w:val="20"/>
                <w:szCs w:val="20"/>
                <w:lang w:eastAsia="nl-NL"/>
              </w:rPr>
              <w:t>0</w:t>
            </w:r>
          </w:p>
        </w:tc>
        <w:tc>
          <w:tcPr>
            <w:tcW w:w="1340" w:type="dxa"/>
            <w:tcBorders>
              <w:top w:val="single" w:sz="4" w:space="0" w:color="366092"/>
              <w:left w:val="nil"/>
              <w:bottom w:val="single" w:sz="8" w:space="0" w:color="366092"/>
              <w:right w:val="nil"/>
            </w:tcBorders>
            <w:shd w:val="clear" w:color="auto" w:fill="auto"/>
            <w:noWrap/>
            <w:vAlign w:val="bottom"/>
            <w:hideMark/>
          </w:tcPr>
          <w:p w:rsidR="00BD79A7" w:rsidRPr="00BD79A7" w:rsidRDefault="00BD79A7" w:rsidP="00BD79A7">
            <w:pPr>
              <w:jc w:val="right"/>
              <w:rPr>
                <w:rFonts w:eastAsia="Times New Roman" w:cs="Arial"/>
                <w:b/>
                <w:bCs/>
                <w:color w:val="000000"/>
                <w:sz w:val="20"/>
                <w:szCs w:val="20"/>
                <w:lang w:eastAsia="nl-NL"/>
              </w:rPr>
            </w:pPr>
            <w:r w:rsidRPr="00BD79A7">
              <w:rPr>
                <w:rFonts w:eastAsia="Times New Roman" w:cs="Arial"/>
                <w:b/>
                <w:bCs/>
                <w:color w:val="000000"/>
                <w:sz w:val="20"/>
                <w:szCs w:val="20"/>
                <w:lang w:eastAsia="nl-NL"/>
              </w:rPr>
              <w:t>0</w:t>
            </w:r>
          </w:p>
        </w:tc>
      </w:tr>
      <w:bookmarkEnd w:id="10"/>
    </w:tbl>
    <w:p w:rsidR="00C92E1B" w:rsidRPr="00825689" w:rsidRDefault="00C92E1B" w:rsidP="00C92E1B">
      <w:pPr>
        <w:rPr>
          <w:rFonts w:asciiTheme="majorHAnsi" w:eastAsiaTheme="majorEastAsia" w:hAnsiTheme="majorHAnsi" w:cstheme="majorBidi"/>
          <w:b/>
          <w:bCs/>
          <w:color w:val="365F91" w:themeColor="accent1" w:themeShade="BF"/>
          <w:sz w:val="28"/>
          <w:szCs w:val="28"/>
        </w:rPr>
      </w:pPr>
    </w:p>
    <w:sectPr w:rsidR="00C92E1B" w:rsidRPr="00825689" w:rsidSect="0035173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FD" w:rsidRDefault="00B95AFD" w:rsidP="00E6738A">
      <w:r>
        <w:separator/>
      </w:r>
    </w:p>
  </w:endnote>
  <w:endnote w:type="continuationSeparator" w:id="0">
    <w:p w:rsidR="00B95AFD" w:rsidRDefault="00B95AFD" w:rsidP="00E6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AFD" w:rsidRDefault="00B95AFD">
    <w:pPr>
      <w:pStyle w:val="Voettekst"/>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Najaarsrapportage</w:t>
    </w:r>
    <w:proofErr w:type="spellEnd"/>
    <w:r>
      <w:rPr>
        <w:rFonts w:asciiTheme="majorHAnsi" w:eastAsiaTheme="majorEastAsia" w:hAnsiTheme="majorHAnsi" w:cstheme="majorBidi"/>
      </w:rPr>
      <w:t xml:space="preserve"> 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D511F9" w:rsidRPr="00D511F9">
      <w:rPr>
        <w:rFonts w:asciiTheme="majorHAnsi" w:eastAsiaTheme="majorEastAsia" w:hAnsiTheme="majorHAnsi" w:cstheme="majorBidi"/>
        <w:noProof/>
      </w:rPr>
      <w:t>9</w:t>
    </w:r>
    <w:r>
      <w:rPr>
        <w:rFonts w:asciiTheme="majorHAnsi" w:eastAsiaTheme="majorEastAsia" w:hAnsiTheme="majorHAnsi" w:cstheme="majorBidi"/>
      </w:rPr>
      <w:fldChar w:fldCharType="end"/>
    </w:r>
  </w:p>
  <w:p w:rsidR="00B95AFD" w:rsidRDefault="00B95AF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FD" w:rsidRDefault="00B95AFD" w:rsidP="00E6738A">
      <w:r>
        <w:separator/>
      </w:r>
    </w:p>
  </w:footnote>
  <w:footnote w:type="continuationSeparator" w:id="0">
    <w:p w:rsidR="00B95AFD" w:rsidRDefault="00B95AFD" w:rsidP="00E67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1BE3"/>
    <w:multiLevelType w:val="hybridMultilevel"/>
    <w:tmpl w:val="09229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891031C"/>
    <w:multiLevelType w:val="hybridMultilevel"/>
    <w:tmpl w:val="E4DA1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E6F1E06"/>
    <w:multiLevelType w:val="hybridMultilevel"/>
    <w:tmpl w:val="EC1C9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4CE72C2"/>
    <w:multiLevelType w:val="hybridMultilevel"/>
    <w:tmpl w:val="7700B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5371F54"/>
    <w:multiLevelType w:val="hybridMultilevel"/>
    <w:tmpl w:val="04720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1B"/>
    <w:rsid w:val="000071FF"/>
    <w:rsid w:val="000A7313"/>
    <w:rsid w:val="000F0A90"/>
    <w:rsid w:val="001331D8"/>
    <w:rsid w:val="00151BF0"/>
    <w:rsid w:val="00180713"/>
    <w:rsid w:val="001A198E"/>
    <w:rsid w:val="001A2AF8"/>
    <w:rsid w:val="001A634E"/>
    <w:rsid w:val="00227100"/>
    <w:rsid w:val="002A5FB8"/>
    <w:rsid w:val="002C241A"/>
    <w:rsid w:val="002C77D0"/>
    <w:rsid w:val="002D199D"/>
    <w:rsid w:val="002D35C6"/>
    <w:rsid w:val="00351737"/>
    <w:rsid w:val="00380A06"/>
    <w:rsid w:val="003A2C62"/>
    <w:rsid w:val="00467716"/>
    <w:rsid w:val="00492E2D"/>
    <w:rsid w:val="004A6A38"/>
    <w:rsid w:val="00501A84"/>
    <w:rsid w:val="00503DE0"/>
    <w:rsid w:val="00536B3D"/>
    <w:rsid w:val="005C382C"/>
    <w:rsid w:val="0060526E"/>
    <w:rsid w:val="00615026"/>
    <w:rsid w:val="00667EA5"/>
    <w:rsid w:val="00677B9A"/>
    <w:rsid w:val="00687897"/>
    <w:rsid w:val="006B4FEB"/>
    <w:rsid w:val="006F5FF1"/>
    <w:rsid w:val="0076449C"/>
    <w:rsid w:val="00780E6B"/>
    <w:rsid w:val="00783F1E"/>
    <w:rsid w:val="0079593D"/>
    <w:rsid w:val="007A091E"/>
    <w:rsid w:val="007C531E"/>
    <w:rsid w:val="00825689"/>
    <w:rsid w:val="00831053"/>
    <w:rsid w:val="00842E6B"/>
    <w:rsid w:val="0089395B"/>
    <w:rsid w:val="008E3DD1"/>
    <w:rsid w:val="0090785E"/>
    <w:rsid w:val="0093652A"/>
    <w:rsid w:val="00946756"/>
    <w:rsid w:val="0095688B"/>
    <w:rsid w:val="00987B44"/>
    <w:rsid w:val="0099271A"/>
    <w:rsid w:val="009A4655"/>
    <w:rsid w:val="009B3DFE"/>
    <w:rsid w:val="00A00AF3"/>
    <w:rsid w:val="00A87445"/>
    <w:rsid w:val="00AA781E"/>
    <w:rsid w:val="00AB7B89"/>
    <w:rsid w:val="00AE3FE4"/>
    <w:rsid w:val="00B22A8F"/>
    <w:rsid w:val="00B95AFD"/>
    <w:rsid w:val="00BD79A7"/>
    <w:rsid w:val="00BD7E48"/>
    <w:rsid w:val="00C00327"/>
    <w:rsid w:val="00C92E1B"/>
    <w:rsid w:val="00D13BC0"/>
    <w:rsid w:val="00D511F9"/>
    <w:rsid w:val="00DB00E0"/>
    <w:rsid w:val="00DB13E7"/>
    <w:rsid w:val="00DD345F"/>
    <w:rsid w:val="00DD4494"/>
    <w:rsid w:val="00DE1102"/>
    <w:rsid w:val="00DF0FD1"/>
    <w:rsid w:val="00DF6E8D"/>
    <w:rsid w:val="00E22C1E"/>
    <w:rsid w:val="00E24318"/>
    <w:rsid w:val="00E2457B"/>
    <w:rsid w:val="00E6738A"/>
    <w:rsid w:val="00E7253C"/>
    <w:rsid w:val="00EA0104"/>
    <w:rsid w:val="00EB052D"/>
    <w:rsid w:val="00F07713"/>
    <w:rsid w:val="00F07C0E"/>
    <w:rsid w:val="00F104E8"/>
    <w:rsid w:val="00F52BD2"/>
    <w:rsid w:val="00F82F4E"/>
    <w:rsid w:val="00F92E2D"/>
    <w:rsid w:val="00FD4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92E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92E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E1B"/>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C92E1B"/>
    <w:rPr>
      <w:rFonts w:ascii="Tahoma" w:hAnsi="Tahoma" w:cs="Tahoma"/>
      <w:sz w:val="16"/>
      <w:szCs w:val="16"/>
    </w:rPr>
  </w:style>
  <w:style w:type="character" w:customStyle="1" w:styleId="BallontekstChar">
    <w:name w:val="Ballontekst Char"/>
    <w:basedOn w:val="Standaardalinea-lettertype"/>
    <w:link w:val="Ballontekst"/>
    <w:uiPriority w:val="99"/>
    <w:semiHidden/>
    <w:rsid w:val="00C92E1B"/>
    <w:rPr>
      <w:rFonts w:ascii="Tahoma" w:hAnsi="Tahoma" w:cs="Tahoma"/>
      <w:sz w:val="16"/>
      <w:szCs w:val="16"/>
    </w:rPr>
  </w:style>
  <w:style w:type="character" w:customStyle="1" w:styleId="Kop2Char">
    <w:name w:val="Kop 2 Char"/>
    <w:basedOn w:val="Standaardalinea-lettertype"/>
    <w:link w:val="Kop2"/>
    <w:uiPriority w:val="9"/>
    <w:rsid w:val="00C92E1B"/>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E7253C"/>
    <w:pPr>
      <w:ind w:left="720"/>
      <w:contextualSpacing/>
    </w:pPr>
  </w:style>
  <w:style w:type="paragraph" w:styleId="Kopvaninhoudsopgave">
    <w:name w:val="TOC Heading"/>
    <w:basedOn w:val="Kop1"/>
    <w:next w:val="Standaard"/>
    <w:uiPriority w:val="39"/>
    <w:semiHidden/>
    <w:unhideWhenUsed/>
    <w:qFormat/>
    <w:rsid w:val="00F52BD2"/>
    <w:pPr>
      <w:spacing w:line="276" w:lineRule="auto"/>
      <w:outlineLvl w:val="9"/>
    </w:pPr>
    <w:rPr>
      <w:lang w:eastAsia="nl-NL"/>
    </w:rPr>
  </w:style>
  <w:style w:type="paragraph" w:styleId="Inhopg1">
    <w:name w:val="toc 1"/>
    <w:basedOn w:val="Standaard"/>
    <w:next w:val="Standaard"/>
    <w:autoRedefine/>
    <w:uiPriority w:val="39"/>
    <w:unhideWhenUsed/>
    <w:rsid w:val="00F52BD2"/>
    <w:pPr>
      <w:spacing w:after="100"/>
    </w:pPr>
  </w:style>
  <w:style w:type="character" w:styleId="Hyperlink">
    <w:name w:val="Hyperlink"/>
    <w:basedOn w:val="Standaardalinea-lettertype"/>
    <w:uiPriority w:val="99"/>
    <w:unhideWhenUsed/>
    <w:rsid w:val="00F52BD2"/>
    <w:rPr>
      <w:color w:val="0000FF" w:themeColor="hyperlink"/>
      <w:u w:val="single"/>
    </w:rPr>
  </w:style>
  <w:style w:type="character" w:styleId="Verwijzingopmerking">
    <w:name w:val="annotation reference"/>
    <w:basedOn w:val="Standaardalinea-lettertype"/>
    <w:uiPriority w:val="99"/>
    <w:semiHidden/>
    <w:unhideWhenUsed/>
    <w:rsid w:val="00EA0104"/>
    <w:rPr>
      <w:sz w:val="16"/>
      <w:szCs w:val="16"/>
    </w:rPr>
  </w:style>
  <w:style w:type="paragraph" w:styleId="Tekstopmerking">
    <w:name w:val="annotation text"/>
    <w:basedOn w:val="Standaard"/>
    <w:link w:val="TekstopmerkingChar"/>
    <w:uiPriority w:val="99"/>
    <w:semiHidden/>
    <w:unhideWhenUsed/>
    <w:rsid w:val="00EA0104"/>
    <w:rPr>
      <w:sz w:val="20"/>
      <w:szCs w:val="20"/>
    </w:rPr>
  </w:style>
  <w:style w:type="character" w:customStyle="1" w:styleId="TekstopmerkingChar">
    <w:name w:val="Tekst opmerking Char"/>
    <w:basedOn w:val="Standaardalinea-lettertype"/>
    <w:link w:val="Tekstopmerking"/>
    <w:uiPriority w:val="99"/>
    <w:semiHidden/>
    <w:rsid w:val="00EA0104"/>
    <w:rPr>
      <w:sz w:val="20"/>
      <w:szCs w:val="20"/>
    </w:rPr>
  </w:style>
  <w:style w:type="paragraph" w:styleId="Onderwerpvanopmerking">
    <w:name w:val="annotation subject"/>
    <w:basedOn w:val="Tekstopmerking"/>
    <w:next w:val="Tekstopmerking"/>
    <w:link w:val="OnderwerpvanopmerkingChar"/>
    <w:uiPriority w:val="99"/>
    <w:semiHidden/>
    <w:unhideWhenUsed/>
    <w:rsid w:val="00EA0104"/>
    <w:rPr>
      <w:b/>
      <w:bCs/>
    </w:rPr>
  </w:style>
  <w:style w:type="character" w:customStyle="1" w:styleId="OnderwerpvanopmerkingChar">
    <w:name w:val="Onderwerp van opmerking Char"/>
    <w:basedOn w:val="TekstopmerkingChar"/>
    <w:link w:val="Onderwerpvanopmerking"/>
    <w:uiPriority w:val="99"/>
    <w:semiHidden/>
    <w:rsid w:val="00EA0104"/>
    <w:rPr>
      <w:b/>
      <w:bCs/>
      <w:sz w:val="20"/>
      <w:szCs w:val="20"/>
    </w:rPr>
  </w:style>
  <w:style w:type="paragraph" w:styleId="Koptekst">
    <w:name w:val="header"/>
    <w:basedOn w:val="Standaard"/>
    <w:link w:val="KoptekstChar"/>
    <w:uiPriority w:val="99"/>
    <w:unhideWhenUsed/>
    <w:rsid w:val="00E6738A"/>
    <w:pPr>
      <w:tabs>
        <w:tab w:val="center" w:pos="4536"/>
        <w:tab w:val="right" w:pos="9072"/>
      </w:tabs>
    </w:pPr>
  </w:style>
  <w:style w:type="character" w:customStyle="1" w:styleId="KoptekstChar">
    <w:name w:val="Koptekst Char"/>
    <w:basedOn w:val="Standaardalinea-lettertype"/>
    <w:link w:val="Koptekst"/>
    <w:uiPriority w:val="99"/>
    <w:rsid w:val="00E6738A"/>
  </w:style>
  <w:style w:type="paragraph" w:styleId="Voettekst">
    <w:name w:val="footer"/>
    <w:basedOn w:val="Standaard"/>
    <w:link w:val="VoettekstChar"/>
    <w:uiPriority w:val="99"/>
    <w:unhideWhenUsed/>
    <w:rsid w:val="00E6738A"/>
    <w:pPr>
      <w:tabs>
        <w:tab w:val="center" w:pos="4536"/>
        <w:tab w:val="right" w:pos="9072"/>
      </w:tabs>
    </w:pPr>
  </w:style>
  <w:style w:type="character" w:customStyle="1" w:styleId="VoettekstChar">
    <w:name w:val="Voettekst Char"/>
    <w:basedOn w:val="Standaardalinea-lettertype"/>
    <w:link w:val="Voettekst"/>
    <w:uiPriority w:val="99"/>
    <w:rsid w:val="00E67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92E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92E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E1B"/>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C92E1B"/>
    <w:rPr>
      <w:rFonts w:ascii="Tahoma" w:hAnsi="Tahoma" w:cs="Tahoma"/>
      <w:sz w:val="16"/>
      <w:szCs w:val="16"/>
    </w:rPr>
  </w:style>
  <w:style w:type="character" w:customStyle="1" w:styleId="BallontekstChar">
    <w:name w:val="Ballontekst Char"/>
    <w:basedOn w:val="Standaardalinea-lettertype"/>
    <w:link w:val="Ballontekst"/>
    <w:uiPriority w:val="99"/>
    <w:semiHidden/>
    <w:rsid w:val="00C92E1B"/>
    <w:rPr>
      <w:rFonts w:ascii="Tahoma" w:hAnsi="Tahoma" w:cs="Tahoma"/>
      <w:sz w:val="16"/>
      <w:szCs w:val="16"/>
    </w:rPr>
  </w:style>
  <w:style w:type="character" w:customStyle="1" w:styleId="Kop2Char">
    <w:name w:val="Kop 2 Char"/>
    <w:basedOn w:val="Standaardalinea-lettertype"/>
    <w:link w:val="Kop2"/>
    <w:uiPriority w:val="9"/>
    <w:rsid w:val="00C92E1B"/>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E7253C"/>
    <w:pPr>
      <w:ind w:left="720"/>
      <w:contextualSpacing/>
    </w:pPr>
  </w:style>
  <w:style w:type="paragraph" w:styleId="Kopvaninhoudsopgave">
    <w:name w:val="TOC Heading"/>
    <w:basedOn w:val="Kop1"/>
    <w:next w:val="Standaard"/>
    <w:uiPriority w:val="39"/>
    <w:semiHidden/>
    <w:unhideWhenUsed/>
    <w:qFormat/>
    <w:rsid w:val="00F52BD2"/>
    <w:pPr>
      <w:spacing w:line="276" w:lineRule="auto"/>
      <w:outlineLvl w:val="9"/>
    </w:pPr>
    <w:rPr>
      <w:lang w:eastAsia="nl-NL"/>
    </w:rPr>
  </w:style>
  <w:style w:type="paragraph" w:styleId="Inhopg1">
    <w:name w:val="toc 1"/>
    <w:basedOn w:val="Standaard"/>
    <w:next w:val="Standaard"/>
    <w:autoRedefine/>
    <w:uiPriority w:val="39"/>
    <w:unhideWhenUsed/>
    <w:rsid w:val="00F52BD2"/>
    <w:pPr>
      <w:spacing w:after="100"/>
    </w:pPr>
  </w:style>
  <w:style w:type="character" w:styleId="Hyperlink">
    <w:name w:val="Hyperlink"/>
    <w:basedOn w:val="Standaardalinea-lettertype"/>
    <w:uiPriority w:val="99"/>
    <w:unhideWhenUsed/>
    <w:rsid w:val="00F52BD2"/>
    <w:rPr>
      <w:color w:val="0000FF" w:themeColor="hyperlink"/>
      <w:u w:val="single"/>
    </w:rPr>
  </w:style>
  <w:style w:type="character" w:styleId="Verwijzingopmerking">
    <w:name w:val="annotation reference"/>
    <w:basedOn w:val="Standaardalinea-lettertype"/>
    <w:uiPriority w:val="99"/>
    <w:semiHidden/>
    <w:unhideWhenUsed/>
    <w:rsid w:val="00EA0104"/>
    <w:rPr>
      <w:sz w:val="16"/>
      <w:szCs w:val="16"/>
    </w:rPr>
  </w:style>
  <w:style w:type="paragraph" w:styleId="Tekstopmerking">
    <w:name w:val="annotation text"/>
    <w:basedOn w:val="Standaard"/>
    <w:link w:val="TekstopmerkingChar"/>
    <w:uiPriority w:val="99"/>
    <w:semiHidden/>
    <w:unhideWhenUsed/>
    <w:rsid w:val="00EA0104"/>
    <w:rPr>
      <w:sz w:val="20"/>
      <w:szCs w:val="20"/>
    </w:rPr>
  </w:style>
  <w:style w:type="character" w:customStyle="1" w:styleId="TekstopmerkingChar">
    <w:name w:val="Tekst opmerking Char"/>
    <w:basedOn w:val="Standaardalinea-lettertype"/>
    <w:link w:val="Tekstopmerking"/>
    <w:uiPriority w:val="99"/>
    <w:semiHidden/>
    <w:rsid w:val="00EA0104"/>
    <w:rPr>
      <w:sz w:val="20"/>
      <w:szCs w:val="20"/>
    </w:rPr>
  </w:style>
  <w:style w:type="paragraph" w:styleId="Onderwerpvanopmerking">
    <w:name w:val="annotation subject"/>
    <w:basedOn w:val="Tekstopmerking"/>
    <w:next w:val="Tekstopmerking"/>
    <w:link w:val="OnderwerpvanopmerkingChar"/>
    <w:uiPriority w:val="99"/>
    <w:semiHidden/>
    <w:unhideWhenUsed/>
    <w:rsid w:val="00EA0104"/>
    <w:rPr>
      <w:b/>
      <w:bCs/>
    </w:rPr>
  </w:style>
  <w:style w:type="character" w:customStyle="1" w:styleId="OnderwerpvanopmerkingChar">
    <w:name w:val="Onderwerp van opmerking Char"/>
    <w:basedOn w:val="TekstopmerkingChar"/>
    <w:link w:val="Onderwerpvanopmerking"/>
    <w:uiPriority w:val="99"/>
    <w:semiHidden/>
    <w:rsid w:val="00EA0104"/>
    <w:rPr>
      <w:b/>
      <w:bCs/>
      <w:sz w:val="20"/>
      <w:szCs w:val="20"/>
    </w:rPr>
  </w:style>
  <w:style w:type="paragraph" w:styleId="Koptekst">
    <w:name w:val="header"/>
    <w:basedOn w:val="Standaard"/>
    <w:link w:val="KoptekstChar"/>
    <w:uiPriority w:val="99"/>
    <w:unhideWhenUsed/>
    <w:rsid w:val="00E6738A"/>
    <w:pPr>
      <w:tabs>
        <w:tab w:val="center" w:pos="4536"/>
        <w:tab w:val="right" w:pos="9072"/>
      </w:tabs>
    </w:pPr>
  </w:style>
  <w:style w:type="character" w:customStyle="1" w:styleId="KoptekstChar">
    <w:name w:val="Koptekst Char"/>
    <w:basedOn w:val="Standaardalinea-lettertype"/>
    <w:link w:val="Koptekst"/>
    <w:uiPriority w:val="99"/>
    <w:rsid w:val="00E6738A"/>
  </w:style>
  <w:style w:type="paragraph" w:styleId="Voettekst">
    <w:name w:val="footer"/>
    <w:basedOn w:val="Standaard"/>
    <w:link w:val="VoettekstChar"/>
    <w:uiPriority w:val="99"/>
    <w:unhideWhenUsed/>
    <w:rsid w:val="00E6738A"/>
    <w:pPr>
      <w:tabs>
        <w:tab w:val="center" w:pos="4536"/>
        <w:tab w:val="right" w:pos="9072"/>
      </w:tabs>
    </w:pPr>
  </w:style>
  <w:style w:type="character" w:customStyle="1" w:styleId="VoettekstChar">
    <w:name w:val="Voettekst Char"/>
    <w:basedOn w:val="Standaardalinea-lettertype"/>
    <w:link w:val="Voettekst"/>
    <w:uiPriority w:val="99"/>
    <w:rsid w:val="00E67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761">
      <w:bodyDiv w:val="1"/>
      <w:marLeft w:val="0"/>
      <w:marRight w:val="0"/>
      <w:marTop w:val="0"/>
      <w:marBottom w:val="0"/>
      <w:divBdr>
        <w:top w:val="none" w:sz="0" w:space="0" w:color="auto"/>
        <w:left w:val="none" w:sz="0" w:space="0" w:color="auto"/>
        <w:bottom w:val="none" w:sz="0" w:space="0" w:color="auto"/>
        <w:right w:val="none" w:sz="0" w:space="0" w:color="auto"/>
      </w:divBdr>
    </w:div>
    <w:div w:id="65079027">
      <w:bodyDiv w:val="1"/>
      <w:marLeft w:val="0"/>
      <w:marRight w:val="0"/>
      <w:marTop w:val="0"/>
      <w:marBottom w:val="0"/>
      <w:divBdr>
        <w:top w:val="none" w:sz="0" w:space="0" w:color="auto"/>
        <w:left w:val="none" w:sz="0" w:space="0" w:color="auto"/>
        <w:bottom w:val="none" w:sz="0" w:space="0" w:color="auto"/>
        <w:right w:val="none" w:sz="0" w:space="0" w:color="auto"/>
      </w:divBdr>
    </w:div>
    <w:div w:id="66853453">
      <w:bodyDiv w:val="1"/>
      <w:marLeft w:val="0"/>
      <w:marRight w:val="0"/>
      <w:marTop w:val="0"/>
      <w:marBottom w:val="0"/>
      <w:divBdr>
        <w:top w:val="none" w:sz="0" w:space="0" w:color="auto"/>
        <w:left w:val="none" w:sz="0" w:space="0" w:color="auto"/>
        <w:bottom w:val="none" w:sz="0" w:space="0" w:color="auto"/>
        <w:right w:val="none" w:sz="0" w:space="0" w:color="auto"/>
      </w:divBdr>
    </w:div>
    <w:div w:id="69041228">
      <w:bodyDiv w:val="1"/>
      <w:marLeft w:val="0"/>
      <w:marRight w:val="0"/>
      <w:marTop w:val="0"/>
      <w:marBottom w:val="0"/>
      <w:divBdr>
        <w:top w:val="none" w:sz="0" w:space="0" w:color="auto"/>
        <w:left w:val="none" w:sz="0" w:space="0" w:color="auto"/>
        <w:bottom w:val="none" w:sz="0" w:space="0" w:color="auto"/>
        <w:right w:val="none" w:sz="0" w:space="0" w:color="auto"/>
      </w:divBdr>
    </w:div>
    <w:div w:id="83112096">
      <w:bodyDiv w:val="1"/>
      <w:marLeft w:val="0"/>
      <w:marRight w:val="0"/>
      <w:marTop w:val="0"/>
      <w:marBottom w:val="0"/>
      <w:divBdr>
        <w:top w:val="none" w:sz="0" w:space="0" w:color="auto"/>
        <w:left w:val="none" w:sz="0" w:space="0" w:color="auto"/>
        <w:bottom w:val="none" w:sz="0" w:space="0" w:color="auto"/>
        <w:right w:val="none" w:sz="0" w:space="0" w:color="auto"/>
      </w:divBdr>
    </w:div>
    <w:div w:id="123157479">
      <w:bodyDiv w:val="1"/>
      <w:marLeft w:val="0"/>
      <w:marRight w:val="0"/>
      <w:marTop w:val="0"/>
      <w:marBottom w:val="0"/>
      <w:divBdr>
        <w:top w:val="none" w:sz="0" w:space="0" w:color="auto"/>
        <w:left w:val="none" w:sz="0" w:space="0" w:color="auto"/>
        <w:bottom w:val="none" w:sz="0" w:space="0" w:color="auto"/>
        <w:right w:val="none" w:sz="0" w:space="0" w:color="auto"/>
      </w:divBdr>
    </w:div>
    <w:div w:id="508255276">
      <w:bodyDiv w:val="1"/>
      <w:marLeft w:val="0"/>
      <w:marRight w:val="0"/>
      <w:marTop w:val="0"/>
      <w:marBottom w:val="0"/>
      <w:divBdr>
        <w:top w:val="none" w:sz="0" w:space="0" w:color="auto"/>
        <w:left w:val="none" w:sz="0" w:space="0" w:color="auto"/>
        <w:bottom w:val="none" w:sz="0" w:space="0" w:color="auto"/>
        <w:right w:val="none" w:sz="0" w:space="0" w:color="auto"/>
      </w:divBdr>
    </w:div>
    <w:div w:id="553397736">
      <w:bodyDiv w:val="1"/>
      <w:marLeft w:val="0"/>
      <w:marRight w:val="0"/>
      <w:marTop w:val="0"/>
      <w:marBottom w:val="0"/>
      <w:divBdr>
        <w:top w:val="none" w:sz="0" w:space="0" w:color="auto"/>
        <w:left w:val="none" w:sz="0" w:space="0" w:color="auto"/>
        <w:bottom w:val="none" w:sz="0" w:space="0" w:color="auto"/>
        <w:right w:val="none" w:sz="0" w:space="0" w:color="auto"/>
      </w:divBdr>
    </w:div>
    <w:div w:id="580602338">
      <w:bodyDiv w:val="1"/>
      <w:marLeft w:val="0"/>
      <w:marRight w:val="0"/>
      <w:marTop w:val="0"/>
      <w:marBottom w:val="0"/>
      <w:divBdr>
        <w:top w:val="none" w:sz="0" w:space="0" w:color="auto"/>
        <w:left w:val="none" w:sz="0" w:space="0" w:color="auto"/>
        <w:bottom w:val="none" w:sz="0" w:space="0" w:color="auto"/>
        <w:right w:val="none" w:sz="0" w:space="0" w:color="auto"/>
      </w:divBdr>
    </w:div>
    <w:div w:id="669064901">
      <w:bodyDiv w:val="1"/>
      <w:marLeft w:val="0"/>
      <w:marRight w:val="0"/>
      <w:marTop w:val="0"/>
      <w:marBottom w:val="0"/>
      <w:divBdr>
        <w:top w:val="none" w:sz="0" w:space="0" w:color="auto"/>
        <w:left w:val="none" w:sz="0" w:space="0" w:color="auto"/>
        <w:bottom w:val="none" w:sz="0" w:space="0" w:color="auto"/>
        <w:right w:val="none" w:sz="0" w:space="0" w:color="auto"/>
      </w:divBdr>
    </w:div>
    <w:div w:id="701172582">
      <w:bodyDiv w:val="1"/>
      <w:marLeft w:val="0"/>
      <w:marRight w:val="0"/>
      <w:marTop w:val="0"/>
      <w:marBottom w:val="0"/>
      <w:divBdr>
        <w:top w:val="none" w:sz="0" w:space="0" w:color="auto"/>
        <w:left w:val="none" w:sz="0" w:space="0" w:color="auto"/>
        <w:bottom w:val="none" w:sz="0" w:space="0" w:color="auto"/>
        <w:right w:val="none" w:sz="0" w:space="0" w:color="auto"/>
      </w:divBdr>
    </w:div>
    <w:div w:id="707296849">
      <w:bodyDiv w:val="1"/>
      <w:marLeft w:val="0"/>
      <w:marRight w:val="0"/>
      <w:marTop w:val="0"/>
      <w:marBottom w:val="0"/>
      <w:divBdr>
        <w:top w:val="none" w:sz="0" w:space="0" w:color="auto"/>
        <w:left w:val="none" w:sz="0" w:space="0" w:color="auto"/>
        <w:bottom w:val="none" w:sz="0" w:space="0" w:color="auto"/>
        <w:right w:val="none" w:sz="0" w:space="0" w:color="auto"/>
      </w:divBdr>
    </w:div>
    <w:div w:id="999767827">
      <w:bodyDiv w:val="1"/>
      <w:marLeft w:val="0"/>
      <w:marRight w:val="0"/>
      <w:marTop w:val="0"/>
      <w:marBottom w:val="0"/>
      <w:divBdr>
        <w:top w:val="none" w:sz="0" w:space="0" w:color="auto"/>
        <w:left w:val="none" w:sz="0" w:space="0" w:color="auto"/>
        <w:bottom w:val="none" w:sz="0" w:space="0" w:color="auto"/>
        <w:right w:val="none" w:sz="0" w:space="0" w:color="auto"/>
      </w:divBdr>
    </w:div>
    <w:div w:id="1019429599">
      <w:bodyDiv w:val="1"/>
      <w:marLeft w:val="0"/>
      <w:marRight w:val="0"/>
      <w:marTop w:val="0"/>
      <w:marBottom w:val="0"/>
      <w:divBdr>
        <w:top w:val="none" w:sz="0" w:space="0" w:color="auto"/>
        <w:left w:val="none" w:sz="0" w:space="0" w:color="auto"/>
        <w:bottom w:val="none" w:sz="0" w:space="0" w:color="auto"/>
        <w:right w:val="none" w:sz="0" w:space="0" w:color="auto"/>
      </w:divBdr>
    </w:div>
    <w:div w:id="1027676892">
      <w:bodyDiv w:val="1"/>
      <w:marLeft w:val="0"/>
      <w:marRight w:val="0"/>
      <w:marTop w:val="0"/>
      <w:marBottom w:val="0"/>
      <w:divBdr>
        <w:top w:val="none" w:sz="0" w:space="0" w:color="auto"/>
        <w:left w:val="none" w:sz="0" w:space="0" w:color="auto"/>
        <w:bottom w:val="none" w:sz="0" w:space="0" w:color="auto"/>
        <w:right w:val="none" w:sz="0" w:space="0" w:color="auto"/>
      </w:divBdr>
    </w:div>
    <w:div w:id="1114330346">
      <w:bodyDiv w:val="1"/>
      <w:marLeft w:val="0"/>
      <w:marRight w:val="0"/>
      <w:marTop w:val="0"/>
      <w:marBottom w:val="0"/>
      <w:divBdr>
        <w:top w:val="none" w:sz="0" w:space="0" w:color="auto"/>
        <w:left w:val="none" w:sz="0" w:space="0" w:color="auto"/>
        <w:bottom w:val="none" w:sz="0" w:space="0" w:color="auto"/>
        <w:right w:val="none" w:sz="0" w:space="0" w:color="auto"/>
      </w:divBdr>
    </w:div>
    <w:div w:id="1145661990">
      <w:bodyDiv w:val="1"/>
      <w:marLeft w:val="0"/>
      <w:marRight w:val="0"/>
      <w:marTop w:val="0"/>
      <w:marBottom w:val="0"/>
      <w:divBdr>
        <w:top w:val="none" w:sz="0" w:space="0" w:color="auto"/>
        <w:left w:val="none" w:sz="0" w:space="0" w:color="auto"/>
        <w:bottom w:val="none" w:sz="0" w:space="0" w:color="auto"/>
        <w:right w:val="none" w:sz="0" w:space="0" w:color="auto"/>
      </w:divBdr>
    </w:div>
    <w:div w:id="1200817033">
      <w:bodyDiv w:val="1"/>
      <w:marLeft w:val="0"/>
      <w:marRight w:val="0"/>
      <w:marTop w:val="0"/>
      <w:marBottom w:val="0"/>
      <w:divBdr>
        <w:top w:val="none" w:sz="0" w:space="0" w:color="auto"/>
        <w:left w:val="none" w:sz="0" w:space="0" w:color="auto"/>
        <w:bottom w:val="none" w:sz="0" w:space="0" w:color="auto"/>
        <w:right w:val="none" w:sz="0" w:space="0" w:color="auto"/>
      </w:divBdr>
    </w:div>
    <w:div w:id="1234388278">
      <w:bodyDiv w:val="1"/>
      <w:marLeft w:val="0"/>
      <w:marRight w:val="0"/>
      <w:marTop w:val="0"/>
      <w:marBottom w:val="0"/>
      <w:divBdr>
        <w:top w:val="none" w:sz="0" w:space="0" w:color="auto"/>
        <w:left w:val="none" w:sz="0" w:space="0" w:color="auto"/>
        <w:bottom w:val="none" w:sz="0" w:space="0" w:color="auto"/>
        <w:right w:val="none" w:sz="0" w:space="0" w:color="auto"/>
      </w:divBdr>
    </w:div>
    <w:div w:id="1252080842">
      <w:bodyDiv w:val="1"/>
      <w:marLeft w:val="0"/>
      <w:marRight w:val="0"/>
      <w:marTop w:val="0"/>
      <w:marBottom w:val="0"/>
      <w:divBdr>
        <w:top w:val="none" w:sz="0" w:space="0" w:color="auto"/>
        <w:left w:val="none" w:sz="0" w:space="0" w:color="auto"/>
        <w:bottom w:val="none" w:sz="0" w:space="0" w:color="auto"/>
        <w:right w:val="none" w:sz="0" w:space="0" w:color="auto"/>
      </w:divBdr>
    </w:div>
    <w:div w:id="1350260281">
      <w:bodyDiv w:val="1"/>
      <w:marLeft w:val="0"/>
      <w:marRight w:val="0"/>
      <w:marTop w:val="0"/>
      <w:marBottom w:val="0"/>
      <w:divBdr>
        <w:top w:val="none" w:sz="0" w:space="0" w:color="auto"/>
        <w:left w:val="none" w:sz="0" w:space="0" w:color="auto"/>
        <w:bottom w:val="none" w:sz="0" w:space="0" w:color="auto"/>
        <w:right w:val="none" w:sz="0" w:space="0" w:color="auto"/>
      </w:divBdr>
    </w:div>
    <w:div w:id="1355039667">
      <w:bodyDiv w:val="1"/>
      <w:marLeft w:val="0"/>
      <w:marRight w:val="0"/>
      <w:marTop w:val="0"/>
      <w:marBottom w:val="0"/>
      <w:divBdr>
        <w:top w:val="none" w:sz="0" w:space="0" w:color="auto"/>
        <w:left w:val="none" w:sz="0" w:space="0" w:color="auto"/>
        <w:bottom w:val="none" w:sz="0" w:space="0" w:color="auto"/>
        <w:right w:val="none" w:sz="0" w:space="0" w:color="auto"/>
      </w:divBdr>
    </w:div>
    <w:div w:id="1403680155">
      <w:bodyDiv w:val="1"/>
      <w:marLeft w:val="0"/>
      <w:marRight w:val="0"/>
      <w:marTop w:val="0"/>
      <w:marBottom w:val="0"/>
      <w:divBdr>
        <w:top w:val="none" w:sz="0" w:space="0" w:color="auto"/>
        <w:left w:val="none" w:sz="0" w:space="0" w:color="auto"/>
        <w:bottom w:val="none" w:sz="0" w:space="0" w:color="auto"/>
        <w:right w:val="none" w:sz="0" w:space="0" w:color="auto"/>
      </w:divBdr>
    </w:div>
    <w:div w:id="1518272926">
      <w:bodyDiv w:val="1"/>
      <w:marLeft w:val="0"/>
      <w:marRight w:val="0"/>
      <w:marTop w:val="0"/>
      <w:marBottom w:val="0"/>
      <w:divBdr>
        <w:top w:val="none" w:sz="0" w:space="0" w:color="auto"/>
        <w:left w:val="none" w:sz="0" w:space="0" w:color="auto"/>
        <w:bottom w:val="none" w:sz="0" w:space="0" w:color="auto"/>
        <w:right w:val="none" w:sz="0" w:space="0" w:color="auto"/>
      </w:divBdr>
    </w:div>
    <w:div w:id="1538853950">
      <w:bodyDiv w:val="1"/>
      <w:marLeft w:val="0"/>
      <w:marRight w:val="0"/>
      <w:marTop w:val="0"/>
      <w:marBottom w:val="0"/>
      <w:divBdr>
        <w:top w:val="none" w:sz="0" w:space="0" w:color="auto"/>
        <w:left w:val="none" w:sz="0" w:space="0" w:color="auto"/>
        <w:bottom w:val="none" w:sz="0" w:space="0" w:color="auto"/>
        <w:right w:val="none" w:sz="0" w:space="0" w:color="auto"/>
      </w:divBdr>
    </w:div>
    <w:div w:id="1790781533">
      <w:bodyDiv w:val="1"/>
      <w:marLeft w:val="0"/>
      <w:marRight w:val="0"/>
      <w:marTop w:val="0"/>
      <w:marBottom w:val="0"/>
      <w:divBdr>
        <w:top w:val="none" w:sz="0" w:space="0" w:color="auto"/>
        <w:left w:val="none" w:sz="0" w:space="0" w:color="auto"/>
        <w:bottom w:val="none" w:sz="0" w:space="0" w:color="auto"/>
        <w:right w:val="none" w:sz="0" w:space="0" w:color="auto"/>
      </w:divBdr>
    </w:div>
    <w:div w:id="1947030803">
      <w:bodyDiv w:val="1"/>
      <w:marLeft w:val="0"/>
      <w:marRight w:val="0"/>
      <w:marTop w:val="0"/>
      <w:marBottom w:val="0"/>
      <w:divBdr>
        <w:top w:val="none" w:sz="0" w:space="0" w:color="auto"/>
        <w:left w:val="none" w:sz="0" w:space="0" w:color="auto"/>
        <w:bottom w:val="none" w:sz="0" w:space="0" w:color="auto"/>
        <w:right w:val="none" w:sz="0" w:space="0" w:color="auto"/>
      </w:divBdr>
    </w:div>
    <w:div w:id="1957710264">
      <w:bodyDiv w:val="1"/>
      <w:marLeft w:val="0"/>
      <w:marRight w:val="0"/>
      <w:marTop w:val="0"/>
      <w:marBottom w:val="0"/>
      <w:divBdr>
        <w:top w:val="none" w:sz="0" w:space="0" w:color="auto"/>
        <w:left w:val="none" w:sz="0" w:space="0" w:color="auto"/>
        <w:bottom w:val="none" w:sz="0" w:space="0" w:color="auto"/>
        <w:right w:val="none" w:sz="0" w:space="0" w:color="auto"/>
      </w:divBdr>
    </w:div>
    <w:div w:id="2052151387">
      <w:bodyDiv w:val="1"/>
      <w:marLeft w:val="0"/>
      <w:marRight w:val="0"/>
      <w:marTop w:val="0"/>
      <w:marBottom w:val="0"/>
      <w:divBdr>
        <w:top w:val="none" w:sz="0" w:space="0" w:color="auto"/>
        <w:left w:val="none" w:sz="0" w:space="0" w:color="auto"/>
        <w:bottom w:val="none" w:sz="0" w:space="0" w:color="auto"/>
        <w:right w:val="none" w:sz="0" w:space="0" w:color="auto"/>
      </w:divBdr>
    </w:div>
    <w:div w:id="2064522593">
      <w:bodyDiv w:val="1"/>
      <w:marLeft w:val="0"/>
      <w:marRight w:val="0"/>
      <w:marTop w:val="0"/>
      <w:marBottom w:val="0"/>
      <w:divBdr>
        <w:top w:val="none" w:sz="0" w:space="0" w:color="auto"/>
        <w:left w:val="none" w:sz="0" w:space="0" w:color="auto"/>
        <w:bottom w:val="none" w:sz="0" w:space="0" w:color="auto"/>
        <w:right w:val="none" w:sz="0" w:space="0" w:color="auto"/>
      </w:divBdr>
    </w:div>
    <w:div w:id="2104304174">
      <w:bodyDiv w:val="1"/>
      <w:marLeft w:val="0"/>
      <w:marRight w:val="0"/>
      <w:marTop w:val="0"/>
      <w:marBottom w:val="0"/>
      <w:divBdr>
        <w:top w:val="none" w:sz="0" w:space="0" w:color="auto"/>
        <w:left w:val="none" w:sz="0" w:space="0" w:color="auto"/>
        <w:bottom w:val="none" w:sz="0" w:space="0" w:color="auto"/>
        <w:right w:val="none" w:sz="0" w:space="0" w:color="auto"/>
      </w:divBdr>
    </w:div>
    <w:div w:id="2106991807">
      <w:bodyDiv w:val="1"/>
      <w:marLeft w:val="0"/>
      <w:marRight w:val="0"/>
      <w:marTop w:val="0"/>
      <w:marBottom w:val="0"/>
      <w:divBdr>
        <w:top w:val="none" w:sz="0" w:space="0" w:color="auto"/>
        <w:left w:val="none" w:sz="0" w:space="0" w:color="auto"/>
        <w:bottom w:val="none" w:sz="0" w:space="0" w:color="auto"/>
        <w:right w:val="none" w:sz="0" w:space="0" w:color="auto"/>
      </w:divBdr>
    </w:div>
    <w:div w:id="212588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B7F2-6E87-4405-9710-61B19226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BD8B3E89.dotm</Template>
  <TotalTime>76</TotalTime>
  <Pages>10</Pages>
  <Words>2819</Words>
  <Characters>15508</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Gemeente Stellingwerf</Company>
  <LinksUpToDate>false</LinksUpToDate>
  <CharactersWithSpaces>18291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 Froukje de</dc:creator>
  <cp:lastModifiedBy>Wit, Froukje de</cp:lastModifiedBy>
  <cp:revision>11</cp:revision>
  <dcterms:created xsi:type="dcterms:W3CDTF">2018-09-18T11:44:00Z</dcterms:created>
  <dcterms:modified xsi:type="dcterms:W3CDTF">2018-09-18T13:21:00Z</dcterms:modified>
</cp:coreProperties>
</file>